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73DA0">
      <w:pPr>
        <w:pStyle w:val="19"/>
        <w:numPr>
          <w:ilvl w:val="0"/>
          <w:numId w:val="2"/>
        </w:numPr>
        <w:spacing w:line="360" w:lineRule="auto"/>
        <w:ind w:firstLineChars="0"/>
        <w:rPr>
          <w:rFonts w:hint="eastAsia" w:ascii="宋体" w:hAnsi="宋体" w:eastAsia="宋体"/>
          <w:b/>
          <w:sz w:val="24"/>
          <w:szCs w:val="24"/>
        </w:rPr>
      </w:pPr>
      <w:bookmarkStart w:id="4" w:name="_GoBack"/>
      <w:bookmarkEnd w:id="4"/>
      <w:r>
        <w:rPr>
          <w:rFonts w:ascii="宋体" w:hAnsi="宋体" w:eastAsia="宋体"/>
          <w:b/>
          <w:sz w:val="24"/>
          <w:szCs w:val="24"/>
        </w:rPr>
        <w:t>技术参数要求</w:t>
      </w:r>
    </w:p>
    <w:tbl>
      <w:tblPr>
        <w:tblStyle w:val="12"/>
        <w:tblpPr w:leftFromText="180" w:rightFromText="180" w:vertAnchor="page" w:horzAnchor="margin" w:tblpY="205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20"/>
        <w:gridCol w:w="6108"/>
      </w:tblGrid>
      <w:tr w14:paraId="625E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7F82920">
            <w:pPr>
              <w:spacing w:line="360" w:lineRule="auto"/>
              <w:rPr>
                <w:rFonts w:hint="eastAsia" w:ascii="宋体" w:hAnsi="宋体" w:eastAsia="宋体"/>
                <w:sz w:val="24"/>
                <w:szCs w:val="24"/>
              </w:rPr>
            </w:pPr>
            <w:r>
              <w:rPr>
                <w:rFonts w:ascii="宋体" w:hAnsi="宋体" w:eastAsia="宋体"/>
                <w:sz w:val="24"/>
                <w:szCs w:val="24"/>
              </w:rPr>
              <w:t>序号</w:t>
            </w:r>
          </w:p>
        </w:tc>
        <w:tc>
          <w:tcPr>
            <w:tcW w:w="1520" w:type="dxa"/>
            <w:vAlign w:val="center"/>
          </w:tcPr>
          <w:p w14:paraId="728E468D">
            <w:pPr>
              <w:spacing w:line="360" w:lineRule="auto"/>
              <w:rPr>
                <w:rFonts w:hint="eastAsia" w:ascii="宋体" w:hAnsi="宋体" w:eastAsia="宋体"/>
                <w:sz w:val="24"/>
                <w:szCs w:val="24"/>
              </w:rPr>
            </w:pPr>
            <w:r>
              <w:rPr>
                <w:rFonts w:ascii="宋体" w:hAnsi="宋体" w:eastAsia="宋体"/>
                <w:sz w:val="24"/>
                <w:szCs w:val="24"/>
              </w:rPr>
              <w:t>子项</w:t>
            </w:r>
          </w:p>
        </w:tc>
        <w:tc>
          <w:tcPr>
            <w:tcW w:w="6108" w:type="dxa"/>
            <w:vAlign w:val="center"/>
          </w:tcPr>
          <w:p w14:paraId="358D00BD">
            <w:pPr>
              <w:spacing w:line="360" w:lineRule="auto"/>
              <w:rPr>
                <w:rFonts w:hint="eastAsia" w:ascii="宋体" w:hAnsi="宋体" w:eastAsia="宋体"/>
                <w:sz w:val="24"/>
                <w:szCs w:val="24"/>
              </w:rPr>
            </w:pPr>
            <w:r>
              <w:rPr>
                <w:rFonts w:ascii="宋体" w:hAnsi="宋体" w:eastAsia="宋体"/>
                <w:sz w:val="24"/>
                <w:szCs w:val="24"/>
              </w:rPr>
              <w:t>详细要求</w:t>
            </w:r>
          </w:p>
        </w:tc>
      </w:tr>
      <w:tr w14:paraId="1597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14:paraId="6BD83CF1">
            <w:pPr>
              <w:spacing w:line="360" w:lineRule="auto"/>
              <w:rPr>
                <w:rFonts w:hint="eastAsia" w:ascii="宋体" w:hAnsi="宋体" w:eastAsia="宋体" w:cs="Arial"/>
                <w:b/>
                <w:bCs/>
                <w:sz w:val="24"/>
                <w:szCs w:val="24"/>
              </w:rPr>
            </w:pPr>
            <w:r>
              <w:rPr>
                <w:rFonts w:hint="eastAsia" w:ascii="宋体" w:hAnsi="宋体" w:eastAsia="宋体" w:cs="Arial"/>
                <w:b/>
                <w:bCs/>
                <w:sz w:val="24"/>
                <w:szCs w:val="24"/>
              </w:rPr>
              <w:t>药师审方干预功能要求</w:t>
            </w:r>
          </w:p>
        </w:tc>
      </w:tr>
      <w:tr w14:paraId="79AB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8F19554">
            <w:pPr>
              <w:pStyle w:val="19"/>
              <w:numPr>
                <w:ilvl w:val="0"/>
                <w:numId w:val="3"/>
              </w:numPr>
              <w:spacing w:line="360" w:lineRule="auto"/>
              <w:ind w:left="0" w:firstLine="0" w:firstLineChars="0"/>
              <w:rPr>
                <w:rFonts w:hint="eastAsia" w:ascii="宋体" w:hAnsi="宋体" w:eastAsia="宋体"/>
                <w:sz w:val="24"/>
                <w:szCs w:val="24"/>
              </w:rPr>
            </w:pPr>
            <w:bookmarkStart w:id="0" w:name="_Hlk109920880"/>
          </w:p>
        </w:tc>
        <w:tc>
          <w:tcPr>
            <w:tcW w:w="1520" w:type="dxa"/>
            <w:vAlign w:val="center"/>
          </w:tcPr>
          <w:p w14:paraId="437B07AA">
            <w:pPr>
              <w:spacing w:line="360" w:lineRule="auto"/>
              <w:rPr>
                <w:rFonts w:hint="eastAsia" w:ascii="宋体" w:hAnsi="宋体" w:eastAsia="宋体"/>
                <w:sz w:val="24"/>
                <w:szCs w:val="24"/>
              </w:rPr>
            </w:pPr>
            <w:r>
              <w:rPr>
                <w:rFonts w:hint="eastAsia" w:ascii="宋体" w:hAnsi="宋体" w:eastAsia="宋体"/>
                <w:sz w:val="24"/>
                <w:szCs w:val="24"/>
              </w:rPr>
              <w:t>审方时机和过程</w:t>
            </w:r>
          </w:p>
        </w:tc>
        <w:tc>
          <w:tcPr>
            <w:tcW w:w="6108" w:type="dxa"/>
            <w:vAlign w:val="center"/>
          </w:tcPr>
          <w:p w14:paraId="2E2E44C0">
            <w:pPr>
              <w:pStyle w:val="4"/>
              <w:rPr>
                <w:rFonts w:hint="eastAsia" w:ascii="宋体" w:hAnsi="宋体" w:cstheme="minorBidi"/>
                <w:b w:val="0"/>
                <w:bCs w:val="0"/>
                <w:szCs w:val="24"/>
              </w:rPr>
            </w:pPr>
            <w:r>
              <w:rPr>
                <w:rFonts w:hint="eastAsia" w:ascii="宋体" w:hAnsi="宋体" w:cstheme="minorBidi"/>
                <w:b w:val="0"/>
                <w:bCs w:val="0"/>
                <w:szCs w:val="24"/>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bookmarkEnd w:id="0"/>
      <w:tr w14:paraId="745F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6FA57D6">
            <w:pPr>
              <w:pStyle w:val="19"/>
              <w:numPr>
                <w:ilvl w:val="0"/>
                <w:numId w:val="3"/>
              </w:numPr>
              <w:spacing w:line="360" w:lineRule="auto"/>
              <w:ind w:left="0" w:firstLine="0" w:firstLineChars="0"/>
              <w:rPr>
                <w:rFonts w:hint="eastAsia" w:ascii="宋体" w:hAnsi="宋体" w:eastAsia="宋体"/>
                <w:sz w:val="24"/>
                <w:szCs w:val="24"/>
              </w:rPr>
            </w:pPr>
          </w:p>
        </w:tc>
        <w:tc>
          <w:tcPr>
            <w:tcW w:w="1520" w:type="dxa"/>
            <w:vAlign w:val="center"/>
          </w:tcPr>
          <w:p w14:paraId="2ACB2764">
            <w:pPr>
              <w:spacing w:line="360" w:lineRule="auto"/>
              <w:rPr>
                <w:rFonts w:hint="eastAsia" w:ascii="宋体" w:hAnsi="宋体" w:eastAsia="宋体"/>
                <w:sz w:val="24"/>
                <w:szCs w:val="24"/>
              </w:rPr>
            </w:pPr>
            <w:r>
              <w:rPr>
                <w:rFonts w:hint="eastAsia" w:ascii="宋体" w:hAnsi="宋体" w:eastAsia="宋体" w:cs="Arial"/>
                <w:sz w:val="24"/>
                <w:szCs w:val="24"/>
              </w:rPr>
              <w:t>审方干预功能</w:t>
            </w:r>
          </w:p>
        </w:tc>
        <w:tc>
          <w:tcPr>
            <w:tcW w:w="6108" w:type="dxa"/>
            <w:vAlign w:val="center"/>
          </w:tcPr>
          <w:p w14:paraId="2057C253">
            <w:pPr>
              <w:pStyle w:val="4"/>
              <w:numPr>
                <w:ilvl w:val="0"/>
                <w:numId w:val="4"/>
              </w:numPr>
              <w:rPr>
                <w:rFonts w:hint="eastAsia" w:ascii="宋体" w:hAnsi="宋体" w:cs="Arial"/>
                <w:b w:val="0"/>
                <w:bCs w:val="0"/>
                <w:szCs w:val="24"/>
              </w:rPr>
            </w:pPr>
            <w:bookmarkStart w:id="1" w:name="_Hlk109921512"/>
            <w:r>
              <w:rPr>
                <w:rFonts w:hint="eastAsia" w:ascii="宋体" w:hAnsi="宋体" w:cs="Arial"/>
                <w:b w:val="0"/>
                <w:bCs w:val="0"/>
                <w:szCs w:val="24"/>
              </w:rPr>
              <w:t>药师审查时，可在审查界面一体化查看当前处方（医嘱）历史干预记录，如医生操作、用药理由等。</w:t>
            </w:r>
          </w:p>
          <w:p w14:paraId="77B2C8BA">
            <w:pPr>
              <w:pStyle w:val="4"/>
              <w:numPr>
                <w:ilvl w:val="0"/>
                <w:numId w:val="4"/>
              </w:numPr>
              <w:rPr>
                <w:rFonts w:hint="eastAsia" w:ascii="宋体" w:hAnsi="宋体" w:cs="Arial"/>
                <w:b w:val="0"/>
                <w:bCs w:val="0"/>
                <w:szCs w:val="24"/>
              </w:rPr>
            </w:pPr>
            <w:r>
              <w:rPr>
                <w:rFonts w:hint="eastAsia" w:ascii="宋体" w:hAnsi="宋体" w:cs="Arial"/>
                <w:b w:val="0"/>
                <w:bCs w:val="0"/>
                <w:szCs w:val="24"/>
              </w:rPr>
              <w:t>药师审查时可查看当前处方（医嘱）历史修改版本信息。</w:t>
            </w:r>
          </w:p>
          <w:bookmarkEnd w:id="1"/>
          <w:p w14:paraId="2496A146">
            <w:pPr>
              <w:pStyle w:val="4"/>
              <w:numPr>
                <w:ilvl w:val="0"/>
                <w:numId w:val="4"/>
              </w:numPr>
              <w:rPr>
                <w:rFonts w:hint="eastAsia" w:ascii="宋体" w:hAnsi="宋体" w:cs="Arial"/>
                <w:b w:val="0"/>
                <w:bCs w:val="0"/>
                <w:szCs w:val="24"/>
              </w:rPr>
            </w:pPr>
            <w:r>
              <w:rPr>
                <w:rFonts w:hint="eastAsia" w:ascii="宋体" w:hAnsi="宋体" w:cs="Arial"/>
                <w:b w:val="0"/>
                <w:bCs w:val="0"/>
                <w:szCs w:val="24"/>
              </w:rPr>
              <w:t>药师可选择审核意见中的重点文字变色处理后发给医生。药师还可预设常用问题模板。</w:t>
            </w:r>
          </w:p>
          <w:p w14:paraId="09D2F846">
            <w:pPr>
              <w:pStyle w:val="4"/>
              <w:numPr>
                <w:ilvl w:val="0"/>
                <w:numId w:val="4"/>
              </w:numPr>
              <w:rPr>
                <w:rFonts w:hint="eastAsia" w:ascii="宋体" w:hAnsi="宋体" w:cs="Arial"/>
                <w:b w:val="0"/>
                <w:bCs w:val="0"/>
                <w:szCs w:val="24"/>
              </w:rPr>
            </w:pPr>
            <w:r>
              <w:rPr>
                <w:rFonts w:hint="eastAsia" w:ascii="宋体" w:hAnsi="宋体" w:cs="Arial"/>
                <w:b w:val="0"/>
                <w:bCs w:val="0"/>
                <w:szCs w:val="24"/>
              </w:rPr>
              <w:t>▲药师可以根据不同任务情况选择医生处方（医嘱）直接双签通过还是需要药师复核。</w:t>
            </w:r>
          </w:p>
          <w:p w14:paraId="32ABC0CC">
            <w:pPr>
              <w:pStyle w:val="4"/>
              <w:numPr>
                <w:ilvl w:val="0"/>
                <w:numId w:val="4"/>
              </w:numPr>
              <w:rPr>
                <w:rFonts w:hint="eastAsia" w:ascii="宋体" w:hAnsi="宋体" w:cs="Arial"/>
                <w:b w:val="0"/>
                <w:bCs w:val="0"/>
                <w:szCs w:val="24"/>
              </w:rPr>
            </w:pPr>
            <w:r>
              <w:rPr>
                <w:rFonts w:hint="eastAsia" w:ascii="宋体" w:hAnsi="宋体" w:cs="Arial"/>
                <w:b w:val="0"/>
                <w:bCs w:val="0"/>
                <w:szCs w:val="24"/>
              </w:rPr>
              <w:t>若一张处方（医嘱）通过前有多个修改版本，系统可以标记每个版本的处置状态。</w:t>
            </w:r>
          </w:p>
          <w:p w14:paraId="5DCE5BA8">
            <w:pPr>
              <w:pStyle w:val="4"/>
              <w:numPr>
                <w:ilvl w:val="0"/>
                <w:numId w:val="4"/>
              </w:numPr>
              <w:rPr>
                <w:rFonts w:hint="eastAsia" w:ascii="宋体" w:hAnsi="宋体" w:cs="Arial"/>
                <w:b w:val="0"/>
                <w:bCs w:val="0"/>
                <w:szCs w:val="24"/>
              </w:rPr>
            </w:pPr>
            <w:r>
              <w:rPr>
                <w:rFonts w:hint="eastAsia" w:ascii="宋体" w:hAnsi="宋体" w:cs="Arial"/>
                <w:b w:val="0"/>
                <w:bCs w:val="0"/>
                <w:szCs w:val="24"/>
              </w:rPr>
              <w:t>▲系统支持根据医生提交至药师处的中药处方智能检索近似经典方剂供药师参考。</w:t>
            </w:r>
          </w:p>
        </w:tc>
      </w:tr>
      <w:tr w14:paraId="1944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B03C0A0">
            <w:pPr>
              <w:pStyle w:val="19"/>
              <w:numPr>
                <w:ilvl w:val="0"/>
                <w:numId w:val="3"/>
              </w:numPr>
              <w:spacing w:line="360" w:lineRule="auto"/>
              <w:ind w:left="0" w:firstLine="0" w:firstLineChars="0"/>
              <w:rPr>
                <w:rFonts w:hint="eastAsia" w:ascii="宋体" w:hAnsi="宋体" w:eastAsia="宋体"/>
                <w:sz w:val="24"/>
                <w:szCs w:val="24"/>
              </w:rPr>
            </w:pPr>
            <w:bookmarkStart w:id="2" w:name="_Hlk109920935"/>
          </w:p>
        </w:tc>
        <w:tc>
          <w:tcPr>
            <w:tcW w:w="1520" w:type="dxa"/>
            <w:vAlign w:val="center"/>
          </w:tcPr>
          <w:p w14:paraId="1D7D0046">
            <w:pPr>
              <w:spacing w:line="360" w:lineRule="auto"/>
              <w:rPr>
                <w:rFonts w:hint="eastAsia" w:ascii="宋体" w:hAnsi="宋体" w:eastAsia="宋体" w:cs="Arial"/>
                <w:sz w:val="24"/>
                <w:szCs w:val="24"/>
              </w:rPr>
            </w:pPr>
            <w:r>
              <w:rPr>
                <w:rFonts w:hint="eastAsia" w:ascii="宋体" w:hAnsi="宋体" w:eastAsia="宋体" w:cs="Arial"/>
                <w:sz w:val="24"/>
                <w:szCs w:val="24"/>
              </w:rPr>
              <w:t>质量评价功能</w:t>
            </w:r>
          </w:p>
        </w:tc>
        <w:tc>
          <w:tcPr>
            <w:tcW w:w="6108" w:type="dxa"/>
            <w:vAlign w:val="center"/>
          </w:tcPr>
          <w:p w14:paraId="3A9DC976">
            <w:pPr>
              <w:pStyle w:val="4"/>
              <w:numPr>
                <w:ilvl w:val="0"/>
                <w:numId w:val="5"/>
              </w:numPr>
              <w:tabs>
                <w:tab w:val="left" w:pos="360"/>
              </w:tabs>
              <w:ind w:left="0" w:firstLine="0"/>
              <w:rPr>
                <w:rFonts w:hint="eastAsia" w:ascii="宋体" w:hAnsi="宋体" w:cs="Arial"/>
                <w:b w:val="0"/>
                <w:bCs w:val="0"/>
                <w:szCs w:val="24"/>
              </w:rPr>
            </w:pPr>
            <w:r>
              <w:rPr>
                <w:rFonts w:hint="eastAsia" w:ascii="宋体" w:hAnsi="宋体" w:cs="Arial"/>
                <w:b w:val="0"/>
                <w:bCs w:val="0"/>
                <w:szCs w:val="24"/>
              </w:rPr>
              <w:t>系统提供多种筛选方案设置功能，进行待评价任务筛选。评价人可对每个任务输入审核意见并打分。系统可自动生成任务评分表，并可导出到Excel。</w:t>
            </w:r>
          </w:p>
          <w:p w14:paraId="4CB0820B">
            <w:pPr>
              <w:pStyle w:val="4"/>
              <w:numPr>
                <w:ilvl w:val="0"/>
                <w:numId w:val="5"/>
              </w:numPr>
              <w:tabs>
                <w:tab w:val="left" w:pos="360"/>
              </w:tabs>
              <w:ind w:left="0" w:firstLine="0"/>
              <w:rPr>
                <w:szCs w:val="24"/>
              </w:rPr>
            </w:pPr>
            <w:r>
              <w:rPr>
                <w:rFonts w:hint="eastAsia"/>
                <w:b w:val="0"/>
                <w:bCs w:val="0"/>
                <w:szCs w:val="24"/>
              </w:rPr>
              <w:t>评价人可评估历史审核任务并设置问题推荐处置方案，供审方药师审核同一问题时参考。</w:t>
            </w:r>
          </w:p>
        </w:tc>
      </w:tr>
      <w:bookmarkEnd w:id="2"/>
      <w:tr w14:paraId="2974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F7DAA8B">
            <w:pPr>
              <w:pStyle w:val="19"/>
              <w:numPr>
                <w:ilvl w:val="0"/>
                <w:numId w:val="3"/>
              </w:numPr>
              <w:spacing w:line="360" w:lineRule="auto"/>
              <w:ind w:left="0" w:firstLine="0" w:firstLineChars="0"/>
              <w:rPr>
                <w:rFonts w:hint="eastAsia" w:ascii="宋体" w:hAnsi="宋体" w:eastAsia="宋体"/>
                <w:sz w:val="24"/>
                <w:szCs w:val="24"/>
              </w:rPr>
            </w:pPr>
          </w:p>
        </w:tc>
        <w:tc>
          <w:tcPr>
            <w:tcW w:w="1520" w:type="dxa"/>
            <w:vAlign w:val="center"/>
          </w:tcPr>
          <w:p w14:paraId="585474B9">
            <w:pPr>
              <w:spacing w:line="360" w:lineRule="auto"/>
              <w:rPr>
                <w:rFonts w:hint="eastAsia" w:ascii="宋体" w:hAnsi="宋体" w:eastAsia="宋体"/>
                <w:sz w:val="24"/>
                <w:szCs w:val="24"/>
              </w:rPr>
            </w:pPr>
            <w:r>
              <w:rPr>
                <w:rFonts w:hint="eastAsia" w:ascii="宋体" w:hAnsi="宋体" w:eastAsia="宋体"/>
                <w:sz w:val="24"/>
                <w:szCs w:val="24"/>
              </w:rPr>
              <w:t>审方干预自定义功能</w:t>
            </w:r>
          </w:p>
        </w:tc>
        <w:tc>
          <w:tcPr>
            <w:tcW w:w="6108" w:type="dxa"/>
            <w:vAlign w:val="center"/>
          </w:tcPr>
          <w:p w14:paraId="3B77E7BC">
            <w:pPr>
              <w:pStyle w:val="19"/>
              <w:numPr>
                <w:ilvl w:val="0"/>
                <w:numId w:val="6"/>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▲用户可将任意科室、医生、患者、疾病、药品设置为重点关注，可按科室、医生、患者、疾病、药品、问题类型、警示级别多条件组合设置重点关注，包含重点关注信息的处方由药师进行全面审查。</w:t>
            </w:r>
          </w:p>
          <w:p w14:paraId="0D970E4E">
            <w:pPr>
              <w:pStyle w:val="19"/>
              <w:numPr>
                <w:ilvl w:val="0"/>
                <w:numId w:val="6"/>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用户可设置双盲审方、单盲审方，在需要时隐藏医生、药师信息。</w:t>
            </w:r>
          </w:p>
          <w:p w14:paraId="4026A13E">
            <w:pPr>
              <w:pStyle w:val="19"/>
              <w:numPr>
                <w:ilvl w:val="0"/>
                <w:numId w:val="6"/>
              </w:numPr>
              <w:spacing w:line="360" w:lineRule="auto"/>
              <w:ind w:firstLineChars="0"/>
              <w:rPr>
                <w:sz w:val="24"/>
                <w:szCs w:val="24"/>
              </w:rPr>
            </w:pPr>
            <w:r>
              <w:rPr>
                <w:rFonts w:hint="eastAsia" w:ascii="宋体" w:hAnsi="宋体" w:eastAsia="宋体" w:cs="Arial"/>
                <w:bCs/>
                <w:sz w:val="24"/>
                <w:szCs w:val="24"/>
              </w:rPr>
              <w:t>用户可根据使用习惯进行个性化设置，如任务提示音（支持上传），处置按钮顺序及样式，审方界面字体及颜色，发送给医生的常用语等。</w:t>
            </w:r>
          </w:p>
          <w:p w14:paraId="2D111D5E">
            <w:pPr>
              <w:pStyle w:val="19"/>
              <w:numPr>
                <w:ilvl w:val="0"/>
                <w:numId w:val="6"/>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▲用户可设置自动干预模式，并设置医生填写用药理由的模式。药师不在岗时，系统自动干预，医生填写用药理由后方可执行，支持全院和分科室设置。</w:t>
            </w:r>
          </w:p>
        </w:tc>
      </w:tr>
      <w:tr w14:paraId="7726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4C7102D">
            <w:pPr>
              <w:pStyle w:val="19"/>
              <w:numPr>
                <w:ilvl w:val="0"/>
                <w:numId w:val="3"/>
              </w:numPr>
              <w:spacing w:line="360" w:lineRule="auto"/>
              <w:ind w:left="0" w:firstLine="0" w:firstLineChars="0"/>
              <w:rPr>
                <w:rFonts w:hint="eastAsia" w:ascii="宋体" w:hAnsi="宋体" w:eastAsia="宋体"/>
                <w:sz w:val="24"/>
                <w:szCs w:val="24"/>
              </w:rPr>
            </w:pPr>
          </w:p>
        </w:tc>
        <w:tc>
          <w:tcPr>
            <w:tcW w:w="1520" w:type="dxa"/>
            <w:vAlign w:val="center"/>
          </w:tcPr>
          <w:p w14:paraId="7564689C">
            <w:pPr>
              <w:spacing w:line="360" w:lineRule="auto"/>
              <w:rPr>
                <w:rFonts w:hint="eastAsia" w:ascii="宋体" w:hAnsi="宋体" w:eastAsia="宋体"/>
                <w:sz w:val="24"/>
                <w:szCs w:val="24"/>
              </w:rPr>
            </w:pPr>
            <w:r>
              <w:rPr>
                <w:rFonts w:hint="eastAsia" w:ascii="宋体" w:hAnsi="宋体" w:eastAsia="宋体"/>
                <w:sz w:val="24"/>
                <w:szCs w:val="24"/>
              </w:rPr>
              <w:t>患者信息查看</w:t>
            </w:r>
          </w:p>
        </w:tc>
        <w:tc>
          <w:tcPr>
            <w:tcW w:w="6108" w:type="dxa"/>
            <w:vAlign w:val="center"/>
          </w:tcPr>
          <w:p w14:paraId="201B06F1">
            <w:pPr>
              <w:pStyle w:val="19"/>
              <w:numPr>
                <w:ilvl w:val="0"/>
                <w:numId w:val="7"/>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药师审方界面：可查看患者基本信息、患者过敏史、手术信息、检验检查信息、会诊信息、病程记录，检验结果异常项可单独显示。可链接EMR系统查看患者详细信息。</w:t>
            </w:r>
          </w:p>
          <w:p w14:paraId="678F97AC">
            <w:pPr>
              <w:pStyle w:val="19"/>
              <w:numPr>
                <w:ilvl w:val="0"/>
                <w:numId w:val="7"/>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可标记门诊特殊病人。</w:t>
            </w:r>
          </w:p>
          <w:p w14:paraId="721C1A84">
            <w:pPr>
              <w:pStyle w:val="19"/>
              <w:numPr>
                <w:ilvl w:val="0"/>
                <w:numId w:val="7"/>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可标记慢病处方。</w:t>
            </w:r>
          </w:p>
          <w:p w14:paraId="3AB9DF7C">
            <w:pPr>
              <w:pStyle w:val="19"/>
              <w:numPr>
                <w:ilvl w:val="0"/>
                <w:numId w:val="7"/>
              </w:numPr>
              <w:spacing w:line="360" w:lineRule="auto"/>
              <w:ind w:firstLineChars="0"/>
              <w:rPr>
                <w:rFonts w:hint="eastAsia" w:ascii="宋体" w:hAnsi="宋体" w:eastAsia="宋体" w:cs="Arial"/>
                <w:bCs/>
                <w:sz w:val="24"/>
                <w:szCs w:val="24"/>
              </w:rPr>
            </w:pPr>
            <w:r>
              <w:rPr>
                <w:rFonts w:hint="eastAsia" w:ascii="宋体" w:hAnsi="宋体" w:eastAsia="宋体" w:cs="Arial"/>
                <w:bCs/>
                <w:sz w:val="24"/>
                <w:szCs w:val="24"/>
              </w:rPr>
              <w:t>药师审查时可查看当前患者的其他处方。</w:t>
            </w:r>
          </w:p>
        </w:tc>
      </w:tr>
      <w:tr w14:paraId="74E9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1433F16">
            <w:pPr>
              <w:pStyle w:val="19"/>
              <w:numPr>
                <w:ilvl w:val="0"/>
                <w:numId w:val="3"/>
              </w:numPr>
              <w:spacing w:line="360" w:lineRule="auto"/>
              <w:ind w:left="0" w:firstLine="0" w:firstLineChars="0"/>
              <w:rPr>
                <w:rFonts w:hint="eastAsia" w:ascii="宋体" w:hAnsi="宋体" w:eastAsia="宋体"/>
                <w:sz w:val="24"/>
                <w:szCs w:val="24"/>
              </w:rPr>
            </w:pPr>
          </w:p>
        </w:tc>
        <w:tc>
          <w:tcPr>
            <w:tcW w:w="1520" w:type="dxa"/>
            <w:vAlign w:val="center"/>
          </w:tcPr>
          <w:p w14:paraId="02DF68C6">
            <w:pPr>
              <w:spacing w:line="360" w:lineRule="auto"/>
              <w:rPr>
                <w:rFonts w:hint="eastAsia" w:ascii="宋体" w:hAnsi="宋体" w:eastAsia="宋体"/>
                <w:sz w:val="24"/>
                <w:szCs w:val="24"/>
              </w:rPr>
            </w:pPr>
            <w:r>
              <w:rPr>
                <w:rFonts w:hint="eastAsia" w:ascii="宋体" w:hAnsi="宋体" w:eastAsia="宋体"/>
                <w:sz w:val="24"/>
                <w:szCs w:val="24"/>
              </w:rPr>
              <w:t>系统审查</w:t>
            </w:r>
          </w:p>
        </w:tc>
        <w:tc>
          <w:tcPr>
            <w:tcW w:w="6108" w:type="dxa"/>
            <w:vAlign w:val="center"/>
          </w:tcPr>
          <w:p w14:paraId="43D1516B">
            <w:pPr>
              <w:pStyle w:val="19"/>
              <w:spacing w:line="360" w:lineRule="auto"/>
              <w:ind w:firstLine="0" w:firstLineChars="0"/>
              <w:rPr>
                <w:rFonts w:hint="eastAsia" w:ascii="宋体" w:hAnsi="宋体" w:eastAsia="宋体" w:cs="Arial"/>
                <w:bCs/>
                <w:sz w:val="24"/>
                <w:szCs w:val="24"/>
              </w:rPr>
            </w:pPr>
            <w:r>
              <w:rPr>
                <w:rFonts w:hint="eastAsia" w:ascii="宋体" w:hAnsi="宋体" w:eastAsia="宋体" w:cs="Arial"/>
                <w:bCs/>
                <w:sz w:val="24"/>
                <w:szCs w:val="24"/>
              </w:rPr>
              <w:t>系统审查项目、规则等应与医院当前在用医生端审方系统保持一致，并能实现无缝对接，即药师端可查看医生端审方系统的详细审查结果信息，同时药师审核问题标准可按医生端审方系统的审查项目和问题级别进行设置。审查项目包括：</w:t>
            </w:r>
          </w:p>
          <w:p w14:paraId="613D1219">
            <w:pPr>
              <w:pStyle w:val="19"/>
              <w:numPr>
                <w:ilvl w:val="0"/>
                <w:numId w:val="8"/>
              </w:numPr>
              <w:spacing w:line="360" w:lineRule="auto"/>
              <w:ind w:left="420" w:hanging="420" w:firstLineChars="0"/>
              <w:rPr>
                <w:rFonts w:hint="eastAsia" w:ascii="宋体" w:hAnsi="宋体" w:eastAsia="宋体" w:cs="Arial"/>
                <w:bCs/>
                <w:sz w:val="24"/>
                <w:szCs w:val="24"/>
              </w:rPr>
            </w:pPr>
            <w:r>
              <w:rPr>
                <w:rFonts w:hint="eastAsia" w:ascii="宋体" w:hAnsi="宋体" w:eastAsia="宋体" w:cs="Arial"/>
                <w:bCs/>
                <w:sz w:val="24"/>
                <w:szCs w:val="24"/>
              </w:rPr>
              <w:t>剂量审查：能审查肝肾功能不全患者的给药剂量是否在药品厂家说明书推荐范围内。</w:t>
            </w:r>
          </w:p>
          <w:p w14:paraId="27DE875A">
            <w:pPr>
              <w:pStyle w:val="19"/>
              <w:numPr>
                <w:ilvl w:val="0"/>
                <w:numId w:val="8"/>
              </w:numPr>
              <w:spacing w:line="360" w:lineRule="auto"/>
              <w:ind w:left="420" w:hanging="420" w:firstLineChars="0"/>
              <w:rPr>
                <w:rFonts w:hint="eastAsia" w:ascii="宋体" w:hAnsi="宋体" w:eastAsia="宋体" w:cs="Arial"/>
                <w:bCs/>
                <w:sz w:val="24"/>
                <w:szCs w:val="24"/>
              </w:rPr>
            </w:pPr>
            <w:r>
              <w:rPr>
                <w:rFonts w:hint="eastAsia" w:ascii="宋体" w:hAnsi="宋体" w:eastAsia="宋体" w:cs="Arial"/>
                <w:bCs/>
                <w:sz w:val="24"/>
                <w:szCs w:val="24"/>
              </w:rPr>
              <w:t>适应症审查：根据患者的疾病诊断信息、血压、体温等，审查处方（医嘱）中药品的适应症是否与患者的疾病情况相符。</w:t>
            </w:r>
          </w:p>
          <w:p w14:paraId="38FD6E47">
            <w:pPr>
              <w:pStyle w:val="19"/>
              <w:numPr>
                <w:ilvl w:val="0"/>
                <w:numId w:val="8"/>
              </w:numPr>
              <w:spacing w:line="360" w:lineRule="auto"/>
              <w:ind w:left="420" w:hanging="420" w:firstLineChars="0"/>
              <w:rPr>
                <w:rFonts w:hint="eastAsia" w:ascii="宋体" w:hAnsi="宋体" w:eastAsia="宋体" w:cs="Arial"/>
                <w:bCs/>
                <w:sz w:val="24"/>
                <w:szCs w:val="24"/>
              </w:rPr>
            </w:pPr>
            <w:r>
              <w:rPr>
                <w:rFonts w:hint="eastAsia" w:ascii="宋体" w:hAnsi="宋体" w:eastAsia="宋体" w:cs="Arial"/>
                <w:bCs/>
                <w:sz w:val="24"/>
                <w:szCs w:val="24"/>
              </w:rPr>
              <w:t>越权用药审查：审查医生开出的处方药品是否在其可以使用的权限范围内，如监控医生越级使用抗菌药物、越级使用特殊管制药品等。可允许住院医生越权开具不超过一日量的特殊级抗菌药物。</w:t>
            </w:r>
          </w:p>
          <w:p w14:paraId="0B0250D1">
            <w:pPr>
              <w:pStyle w:val="19"/>
              <w:numPr>
                <w:ilvl w:val="0"/>
                <w:numId w:val="8"/>
              </w:numPr>
              <w:spacing w:line="360" w:lineRule="auto"/>
              <w:ind w:left="420" w:hanging="420" w:firstLineChars="0"/>
              <w:rPr>
                <w:rFonts w:hint="eastAsia" w:ascii="宋体" w:hAnsi="宋体" w:eastAsia="宋体" w:cs="Arial"/>
                <w:bCs/>
                <w:sz w:val="24"/>
                <w:szCs w:val="24"/>
              </w:rPr>
            </w:pPr>
            <w:r>
              <w:rPr>
                <w:rFonts w:hint="eastAsia" w:ascii="宋体" w:hAnsi="宋体" w:eastAsia="宋体" w:cs="Arial"/>
                <w:bCs/>
                <w:sz w:val="24"/>
                <w:szCs w:val="24"/>
              </w:rPr>
              <w:t>围术期用药审查：审查在围手术期内使用抗菌药物的品种是否合理，使用抗菌药物的时机和时限是否合理。</w:t>
            </w:r>
          </w:p>
          <w:p w14:paraId="35C5024B">
            <w:pPr>
              <w:pStyle w:val="19"/>
              <w:numPr>
                <w:ilvl w:val="0"/>
                <w:numId w:val="8"/>
              </w:numPr>
              <w:spacing w:line="360" w:lineRule="auto"/>
              <w:ind w:left="420" w:hanging="420" w:firstLineChars="0"/>
              <w:rPr>
                <w:rFonts w:hint="eastAsia" w:ascii="宋体" w:hAnsi="宋体" w:eastAsia="宋体" w:cs="Arial"/>
                <w:bCs/>
                <w:sz w:val="24"/>
                <w:szCs w:val="24"/>
              </w:rPr>
            </w:pPr>
            <w:r>
              <w:rPr>
                <w:rFonts w:hint="eastAsia" w:ascii="宋体" w:hAnsi="宋体" w:eastAsia="宋体" w:cs="Arial"/>
                <w:bCs/>
                <w:sz w:val="24"/>
                <w:szCs w:val="24"/>
              </w:rPr>
              <w:t>细菌耐药率提示：对医生处方（医嘱）中药品的本院耐药情况进行提示包括哪些细菌对处方药品耐药和耐药率。</w:t>
            </w:r>
          </w:p>
        </w:tc>
      </w:tr>
      <w:tr w14:paraId="229D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8941DA6">
            <w:pPr>
              <w:pStyle w:val="19"/>
              <w:numPr>
                <w:ilvl w:val="0"/>
                <w:numId w:val="3"/>
              </w:numPr>
              <w:spacing w:line="360" w:lineRule="auto"/>
              <w:ind w:left="0" w:firstLine="0" w:firstLineChars="0"/>
              <w:rPr>
                <w:rFonts w:hint="eastAsia" w:ascii="宋体" w:hAnsi="宋体" w:eastAsia="宋体"/>
                <w:sz w:val="24"/>
                <w:szCs w:val="24"/>
              </w:rPr>
            </w:pPr>
          </w:p>
        </w:tc>
        <w:tc>
          <w:tcPr>
            <w:tcW w:w="1520" w:type="dxa"/>
            <w:vAlign w:val="center"/>
          </w:tcPr>
          <w:p w14:paraId="2A2BC237">
            <w:pPr>
              <w:spacing w:line="360" w:lineRule="auto"/>
              <w:rPr>
                <w:rFonts w:hint="eastAsia" w:ascii="宋体" w:hAnsi="宋体" w:eastAsia="宋体"/>
                <w:sz w:val="24"/>
                <w:szCs w:val="24"/>
              </w:rPr>
            </w:pPr>
            <w:r>
              <w:rPr>
                <w:rFonts w:hint="eastAsia" w:ascii="宋体" w:hAnsi="宋体" w:eastAsia="宋体"/>
                <w:sz w:val="24"/>
                <w:szCs w:val="24"/>
              </w:rPr>
              <w:t>统计分析</w:t>
            </w:r>
          </w:p>
        </w:tc>
        <w:tc>
          <w:tcPr>
            <w:tcW w:w="6108" w:type="dxa"/>
            <w:vAlign w:val="center"/>
          </w:tcPr>
          <w:p w14:paraId="20E7F237">
            <w:pPr>
              <w:pStyle w:val="19"/>
              <w:numPr>
                <w:ilvl w:val="0"/>
                <w:numId w:val="9"/>
              </w:numPr>
              <w:spacing w:line="360" w:lineRule="auto"/>
              <w:ind w:firstLine="0" w:firstLineChars="0"/>
              <w:rPr>
                <w:rFonts w:hint="eastAsia" w:ascii="宋体" w:hAnsi="宋体" w:eastAsia="宋体" w:cs="Arial"/>
                <w:bCs/>
                <w:sz w:val="24"/>
                <w:szCs w:val="24"/>
              </w:rPr>
            </w:pPr>
            <w:r>
              <w:rPr>
                <w:rFonts w:hint="eastAsia" w:ascii="宋体" w:hAnsi="宋体" w:eastAsia="宋体" w:cs="Arial"/>
                <w:bCs/>
                <w:sz w:val="24"/>
                <w:szCs w:val="24"/>
              </w:rPr>
              <w:t>可以分别统计门诊、住院任务的审核率、干预率、合格率等重要指标，并可提供统计图。可按照科室、医生、药品、药师、药物类进行干预情况分类统计。</w:t>
            </w:r>
          </w:p>
          <w:p w14:paraId="41A4A1E3">
            <w:pPr>
              <w:pStyle w:val="19"/>
              <w:numPr>
                <w:ilvl w:val="0"/>
                <w:numId w:val="9"/>
              </w:numPr>
              <w:spacing w:line="360" w:lineRule="auto"/>
              <w:ind w:firstLine="0" w:firstLineChars="0"/>
              <w:rPr>
                <w:rFonts w:hint="eastAsia" w:ascii="宋体" w:hAnsi="宋体" w:eastAsia="宋体" w:cs="Arial"/>
                <w:bCs/>
                <w:sz w:val="24"/>
                <w:szCs w:val="24"/>
              </w:rPr>
            </w:pPr>
            <w:r>
              <w:rPr>
                <w:rFonts w:hint="eastAsia" w:ascii="宋体" w:hAnsi="宋体" w:eastAsia="宋体" w:cs="Arial"/>
                <w:bCs/>
                <w:sz w:val="24"/>
                <w:szCs w:val="24"/>
              </w:rPr>
              <w:t>可以统计每个药师的监测时长、审核工作量、干预工作量和干预有效率，并可提供统计图。</w:t>
            </w:r>
          </w:p>
          <w:p w14:paraId="05D30F30">
            <w:pPr>
              <w:pStyle w:val="19"/>
              <w:numPr>
                <w:ilvl w:val="0"/>
                <w:numId w:val="9"/>
              </w:numPr>
              <w:spacing w:line="360" w:lineRule="auto"/>
              <w:ind w:firstLine="0" w:firstLineChars="0"/>
              <w:rPr>
                <w:rFonts w:hint="eastAsia" w:ascii="宋体" w:hAnsi="宋体" w:eastAsia="宋体" w:cs="Arial"/>
                <w:bCs/>
                <w:sz w:val="24"/>
                <w:szCs w:val="24"/>
              </w:rPr>
            </w:pPr>
            <w:r>
              <w:rPr>
                <w:rFonts w:hint="eastAsia" w:ascii="宋体" w:hAnsi="宋体" w:eastAsia="宋体" w:cs="Arial"/>
                <w:bCs/>
                <w:sz w:val="24"/>
                <w:szCs w:val="24"/>
              </w:rPr>
              <w:t>可以提供不合理问题统计分析，支持按时间、问题类型、警示等级等条件进行统计，并可生成统计图。可以查看在人工审方时药师主动添加的问题的发生次数、发生率。</w:t>
            </w:r>
          </w:p>
          <w:p w14:paraId="21B91A45">
            <w:pPr>
              <w:pStyle w:val="19"/>
              <w:numPr>
                <w:ilvl w:val="0"/>
                <w:numId w:val="9"/>
              </w:numPr>
              <w:spacing w:line="360" w:lineRule="auto"/>
              <w:ind w:firstLine="0" w:firstLineChars="0"/>
              <w:rPr>
                <w:rFonts w:hint="eastAsia" w:ascii="宋体" w:hAnsi="宋体" w:eastAsia="宋体" w:cs="Arial"/>
                <w:bCs/>
                <w:sz w:val="24"/>
                <w:szCs w:val="24"/>
              </w:rPr>
            </w:pPr>
            <w:r>
              <w:rPr>
                <w:rFonts w:hint="eastAsia" w:ascii="宋体" w:hAnsi="宋体" w:eastAsia="宋体" w:cs="Arial"/>
                <w:bCs/>
                <w:sz w:val="24"/>
                <w:szCs w:val="24"/>
              </w:rPr>
              <w:t>可以分科室、医生、药品、问题类型提供干预效果追踪，并以统计图的方式体现干预效果。</w:t>
            </w:r>
          </w:p>
          <w:p w14:paraId="43EB9E2F">
            <w:pPr>
              <w:pStyle w:val="19"/>
              <w:numPr>
                <w:ilvl w:val="0"/>
                <w:numId w:val="9"/>
              </w:numPr>
              <w:spacing w:line="360" w:lineRule="auto"/>
              <w:ind w:firstLine="0" w:firstLineChars="0"/>
              <w:rPr>
                <w:rFonts w:hint="eastAsia" w:ascii="宋体" w:hAnsi="宋体" w:eastAsia="宋体" w:cs="Arial"/>
                <w:bCs/>
                <w:sz w:val="24"/>
                <w:szCs w:val="24"/>
              </w:rPr>
            </w:pPr>
            <w:r>
              <w:rPr>
                <w:rFonts w:hint="eastAsia" w:ascii="宋体" w:hAnsi="宋体" w:eastAsia="宋体" w:cs="Arial"/>
                <w:bCs/>
                <w:sz w:val="24"/>
                <w:szCs w:val="24"/>
              </w:rPr>
              <w:t>可按不同的处方（医嘱）通过状态进行统计，并可生成统计图。</w:t>
            </w:r>
          </w:p>
          <w:p w14:paraId="0AE3E76A">
            <w:pPr>
              <w:pStyle w:val="19"/>
              <w:numPr>
                <w:ilvl w:val="0"/>
                <w:numId w:val="9"/>
              </w:numPr>
              <w:spacing w:line="360" w:lineRule="auto"/>
              <w:ind w:firstLine="0" w:firstLineChars="0"/>
              <w:rPr>
                <w:rFonts w:hint="eastAsia" w:ascii="宋体" w:hAnsi="宋体" w:cs="Arial"/>
                <w:sz w:val="24"/>
                <w:szCs w:val="24"/>
              </w:rPr>
            </w:pPr>
            <w:r>
              <w:rPr>
                <w:rFonts w:hint="eastAsia" w:ascii="宋体" w:hAnsi="宋体" w:cs="Arial"/>
                <w:sz w:val="24"/>
                <w:szCs w:val="24"/>
              </w:rPr>
              <w:t>医生端可通过用药自查，查看自身任务的审核干预相关统计数据。</w:t>
            </w:r>
          </w:p>
        </w:tc>
      </w:tr>
      <w:tr w14:paraId="7800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8BCFD3A">
            <w:pPr>
              <w:pStyle w:val="19"/>
              <w:numPr>
                <w:ilvl w:val="0"/>
                <w:numId w:val="3"/>
              </w:numPr>
              <w:spacing w:line="360" w:lineRule="auto"/>
              <w:ind w:left="0" w:firstLine="0" w:firstLineChars="0"/>
              <w:rPr>
                <w:rFonts w:hint="eastAsia" w:ascii="宋体" w:hAnsi="宋体" w:eastAsia="宋体"/>
                <w:sz w:val="24"/>
                <w:szCs w:val="24"/>
              </w:rPr>
            </w:pPr>
          </w:p>
        </w:tc>
        <w:tc>
          <w:tcPr>
            <w:tcW w:w="1520" w:type="dxa"/>
            <w:vAlign w:val="center"/>
          </w:tcPr>
          <w:p w14:paraId="42578A1B">
            <w:pPr>
              <w:spacing w:line="360" w:lineRule="auto"/>
              <w:rPr>
                <w:rFonts w:hint="eastAsia" w:ascii="宋体" w:hAnsi="宋体" w:eastAsia="宋体"/>
                <w:sz w:val="24"/>
                <w:szCs w:val="24"/>
              </w:rPr>
            </w:pPr>
            <w:r>
              <w:rPr>
                <w:rFonts w:hint="eastAsia" w:ascii="宋体" w:hAnsi="宋体" w:eastAsia="宋体"/>
                <w:sz w:val="24"/>
                <w:szCs w:val="24"/>
              </w:rPr>
              <w:t>大屏展示功能</w:t>
            </w:r>
          </w:p>
        </w:tc>
        <w:tc>
          <w:tcPr>
            <w:tcW w:w="6108" w:type="dxa"/>
            <w:vAlign w:val="center"/>
          </w:tcPr>
          <w:p w14:paraId="4EBD358A">
            <w:pPr>
              <w:spacing w:line="360" w:lineRule="auto"/>
              <w:rPr>
                <w:rFonts w:hint="eastAsia" w:ascii="宋体" w:hAnsi="宋体" w:eastAsia="宋体" w:cs="Arial"/>
                <w:bCs/>
                <w:sz w:val="24"/>
                <w:szCs w:val="24"/>
              </w:rPr>
            </w:pPr>
            <w:r>
              <w:rPr>
                <w:rFonts w:hint="eastAsia" w:ascii="宋体" w:hAnsi="宋体" w:eastAsia="宋体" w:cs="Arial"/>
                <w:bCs/>
                <w:sz w:val="24"/>
                <w:szCs w:val="24"/>
              </w:rPr>
              <w:t>系统应支持将重要审方指标通过图表在用户大屏上展示。</w:t>
            </w:r>
          </w:p>
        </w:tc>
      </w:tr>
    </w:tbl>
    <w:p w14:paraId="13E26508">
      <w:pPr>
        <w:spacing w:line="360" w:lineRule="auto"/>
        <w:rPr>
          <w:rFonts w:hint="eastAsia" w:ascii="宋体" w:hAnsi="宋体" w:eastAsia="宋体"/>
          <w:sz w:val="24"/>
          <w:szCs w:val="24"/>
        </w:rPr>
      </w:pPr>
      <w:r>
        <w:rPr>
          <w:rFonts w:hint="eastAsia" w:ascii="宋体" w:hAnsi="宋体" w:eastAsia="宋体"/>
          <w:sz w:val="24"/>
          <w:szCs w:val="24"/>
        </w:rPr>
        <w:br w:type="page"/>
      </w:r>
    </w:p>
    <w:p w14:paraId="29ECB47F">
      <w:pPr>
        <w:spacing w:line="360" w:lineRule="auto"/>
        <w:rPr>
          <w:rFonts w:hint="eastAsia" w:ascii="宋体" w:hAnsi="宋体" w:eastAsia="宋体"/>
          <w:sz w:val="24"/>
          <w:szCs w:val="24"/>
        </w:rPr>
      </w:pPr>
    </w:p>
    <w:p w14:paraId="6ED16625">
      <w:pPr>
        <w:pStyle w:val="19"/>
        <w:numPr>
          <w:ilvl w:val="0"/>
          <w:numId w:val="2"/>
        </w:numPr>
        <w:spacing w:line="360" w:lineRule="auto"/>
        <w:ind w:firstLineChars="0"/>
        <w:rPr>
          <w:rFonts w:hint="eastAsia" w:ascii="宋体" w:hAnsi="宋体" w:eastAsia="宋体"/>
          <w:b/>
          <w:sz w:val="24"/>
          <w:szCs w:val="24"/>
        </w:rPr>
      </w:pPr>
      <w:bookmarkStart w:id="3" w:name="_Toc453679977"/>
      <w:r>
        <w:rPr>
          <w:rFonts w:ascii="宋体" w:hAnsi="宋体" w:eastAsia="宋体"/>
          <w:b/>
          <w:sz w:val="24"/>
          <w:szCs w:val="24"/>
        </w:rPr>
        <w:t>系统评分要求</w:t>
      </w:r>
      <w:bookmarkEnd w:id="3"/>
    </w:p>
    <w:p w14:paraId="4D7BAA37">
      <w:pPr>
        <w:spacing w:line="360" w:lineRule="auto"/>
        <w:ind w:right="-1050" w:rightChars="-500" w:firstLine="480" w:firstLineChars="200"/>
        <w:rPr>
          <w:rFonts w:hint="eastAsia" w:ascii="宋体" w:hAnsi="宋体"/>
          <w:sz w:val="24"/>
          <w:szCs w:val="24"/>
        </w:rPr>
      </w:pPr>
      <w:r>
        <w:rPr>
          <w:rFonts w:hint="eastAsia" w:ascii="宋体" w:hAnsi="宋体"/>
          <w:sz w:val="24"/>
          <w:szCs w:val="24"/>
        </w:rPr>
        <w:t>本项目采用综合评分办法，评标小组严格按照招标文件规定的评分标准和要求，对各投标文件进行综合评审，按得分高低顺序推荐中标候选人。项目采用百分制，评审保留至小数点后两位，具体评分细则如下：</w:t>
      </w:r>
    </w:p>
    <w:tbl>
      <w:tblPr>
        <w:tblStyle w:val="11"/>
        <w:tblW w:w="11473"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198"/>
        <w:gridCol w:w="1347"/>
        <w:gridCol w:w="1276"/>
        <w:gridCol w:w="7652"/>
      </w:tblGrid>
      <w:tr w14:paraId="38E5FF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545" w:type="dxa"/>
            <w:gridSpan w:val="2"/>
            <w:tcBorders>
              <w:top w:val="outset" w:color="auto" w:sz="6" w:space="0"/>
              <w:left w:val="outset" w:color="auto" w:sz="6" w:space="0"/>
              <w:bottom w:val="outset" w:color="auto" w:sz="6" w:space="0"/>
              <w:right w:val="outset" w:color="auto" w:sz="6" w:space="0"/>
            </w:tcBorders>
            <w:vAlign w:val="center"/>
          </w:tcPr>
          <w:p w14:paraId="3204578B">
            <w:pPr>
              <w:spacing w:line="360" w:lineRule="auto"/>
              <w:jc w:val="center"/>
              <w:rPr>
                <w:rFonts w:hint="eastAsia" w:ascii="宋体" w:hAnsi="宋体"/>
                <w:sz w:val="24"/>
                <w:szCs w:val="24"/>
              </w:rPr>
            </w:pPr>
            <w:r>
              <w:rPr>
                <w:rFonts w:ascii="宋体" w:hAnsi="宋体"/>
                <w:sz w:val="24"/>
                <w:szCs w:val="24"/>
              </w:rPr>
              <w:t xml:space="preserve"> 评审因素</w:t>
            </w:r>
          </w:p>
        </w:tc>
        <w:tc>
          <w:tcPr>
            <w:tcW w:w="1276" w:type="dxa"/>
            <w:tcBorders>
              <w:top w:val="outset" w:color="auto" w:sz="6" w:space="0"/>
              <w:left w:val="outset" w:color="auto" w:sz="6" w:space="0"/>
              <w:bottom w:val="outset" w:color="auto" w:sz="6" w:space="0"/>
              <w:right w:val="outset" w:color="auto" w:sz="6" w:space="0"/>
            </w:tcBorders>
            <w:vAlign w:val="center"/>
          </w:tcPr>
          <w:p w14:paraId="63461546">
            <w:pPr>
              <w:spacing w:line="360" w:lineRule="auto"/>
              <w:jc w:val="center"/>
              <w:rPr>
                <w:rFonts w:hint="eastAsia" w:ascii="宋体" w:hAnsi="宋体"/>
                <w:sz w:val="24"/>
                <w:szCs w:val="24"/>
              </w:rPr>
            </w:pPr>
            <w:r>
              <w:rPr>
                <w:rFonts w:ascii="宋体" w:hAnsi="宋体"/>
                <w:sz w:val="24"/>
                <w:szCs w:val="24"/>
              </w:rPr>
              <w:t>分数</w:t>
            </w:r>
          </w:p>
        </w:tc>
        <w:tc>
          <w:tcPr>
            <w:tcW w:w="7652" w:type="dxa"/>
            <w:tcBorders>
              <w:top w:val="outset" w:color="auto" w:sz="6" w:space="0"/>
              <w:left w:val="outset" w:color="auto" w:sz="6" w:space="0"/>
              <w:bottom w:val="outset" w:color="auto" w:sz="6" w:space="0"/>
              <w:right w:val="outset" w:color="auto" w:sz="6" w:space="0"/>
            </w:tcBorders>
            <w:vAlign w:val="center"/>
          </w:tcPr>
          <w:p w14:paraId="054D217C">
            <w:pPr>
              <w:spacing w:line="360" w:lineRule="auto"/>
              <w:jc w:val="center"/>
              <w:rPr>
                <w:rFonts w:hint="eastAsia" w:ascii="宋体" w:hAnsi="宋体"/>
                <w:sz w:val="24"/>
                <w:szCs w:val="24"/>
              </w:rPr>
            </w:pPr>
            <w:r>
              <w:rPr>
                <w:rFonts w:ascii="宋体" w:hAnsi="宋体"/>
                <w:sz w:val="24"/>
                <w:szCs w:val="24"/>
              </w:rPr>
              <w:t>评审标准</w:t>
            </w:r>
          </w:p>
        </w:tc>
      </w:tr>
      <w:tr w14:paraId="50FAB8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tcBorders>
              <w:top w:val="outset" w:color="auto" w:sz="6" w:space="0"/>
              <w:left w:val="outset" w:color="auto" w:sz="6" w:space="0"/>
              <w:bottom w:val="single" w:color="auto" w:sz="4" w:space="0"/>
              <w:right w:val="outset" w:color="auto" w:sz="6" w:space="0"/>
            </w:tcBorders>
            <w:vAlign w:val="center"/>
          </w:tcPr>
          <w:p w14:paraId="61D0AA6F">
            <w:pPr>
              <w:spacing w:line="360" w:lineRule="auto"/>
              <w:jc w:val="center"/>
              <w:rPr>
                <w:rFonts w:hint="eastAsia" w:ascii="宋体" w:hAnsi="宋体"/>
                <w:sz w:val="24"/>
                <w:szCs w:val="24"/>
              </w:rPr>
            </w:pPr>
            <w:r>
              <w:rPr>
                <w:rFonts w:ascii="宋体" w:hAnsi="宋体"/>
                <w:sz w:val="24"/>
                <w:szCs w:val="24"/>
              </w:rPr>
              <w:t>报价</w:t>
            </w:r>
            <w:r>
              <w:rPr>
                <w:rFonts w:hint="eastAsia" w:ascii="宋体" w:hAnsi="宋体"/>
                <w:sz w:val="24"/>
                <w:szCs w:val="24"/>
              </w:rPr>
              <w:t>因素</w:t>
            </w:r>
          </w:p>
          <w:p w14:paraId="4F47BD8A">
            <w:pPr>
              <w:spacing w:line="360" w:lineRule="auto"/>
              <w:jc w:val="center"/>
              <w:rPr>
                <w:rFonts w:hint="eastAsia" w:ascii="宋体" w:hAnsi="宋体"/>
                <w:sz w:val="24"/>
                <w:szCs w:val="24"/>
              </w:rPr>
            </w:pPr>
            <w:r>
              <w:rPr>
                <w:rFonts w:hint="eastAsia" w:ascii="宋体" w:hAnsi="宋体"/>
                <w:sz w:val="24"/>
                <w:szCs w:val="24"/>
              </w:rPr>
              <w:t>(10分)</w:t>
            </w:r>
          </w:p>
        </w:tc>
        <w:tc>
          <w:tcPr>
            <w:tcW w:w="1347" w:type="dxa"/>
            <w:tcBorders>
              <w:top w:val="outset" w:color="auto" w:sz="6" w:space="0"/>
              <w:left w:val="outset" w:color="auto" w:sz="6" w:space="0"/>
              <w:bottom w:val="single" w:color="auto" w:sz="4" w:space="0"/>
              <w:right w:val="outset" w:color="auto" w:sz="6" w:space="0"/>
            </w:tcBorders>
            <w:vAlign w:val="center"/>
          </w:tcPr>
          <w:p w14:paraId="70DFF842">
            <w:pPr>
              <w:spacing w:line="360" w:lineRule="auto"/>
              <w:jc w:val="center"/>
              <w:rPr>
                <w:rFonts w:hint="eastAsia" w:ascii="宋体" w:hAnsi="宋体"/>
                <w:sz w:val="24"/>
                <w:szCs w:val="24"/>
              </w:rPr>
            </w:pPr>
            <w:r>
              <w:rPr>
                <w:rFonts w:ascii="宋体" w:hAnsi="宋体"/>
                <w:sz w:val="24"/>
                <w:szCs w:val="24"/>
              </w:rPr>
              <w:t>投标报价</w:t>
            </w:r>
          </w:p>
        </w:tc>
        <w:tc>
          <w:tcPr>
            <w:tcW w:w="1276" w:type="dxa"/>
            <w:tcBorders>
              <w:top w:val="outset" w:color="auto" w:sz="6" w:space="0"/>
              <w:left w:val="outset" w:color="auto" w:sz="6" w:space="0"/>
              <w:bottom w:val="single" w:color="auto" w:sz="4" w:space="0"/>
              <w:right w:val="outset" w:color="auto" w:sz="6" w:space="0"/>
            </w:tcBorders>
            <w:vAlign w:val="center"/>
          </w:tcPr>
          <w:p w14:paraId="4B7F128F">
            <w:pPr>
              <w:spacing w:line="360" w:lineRule="auto"/>
              <w:jc w:val="center"/>
              <w:rPr>
                <w:rFonts w:hint="eastAsia" w:ascii="宋体" w:hAnsi="宋体"/>
                <w:sz w:val="24"/>
                <w:szCs w:val="24"/>
              </w:rPr>
            </w:pPr>
            <w:r>
              <w:rPr>
                <w:rFonts w:hint="eastAsia" w:ascii="宋体" w:hAnsi="宋体"/>
                <w:sz w:val="24"/>
                <w:szCs w:val="24"/>
              </w:rPr>
              <w:t>10</w:t>
            </w:r>
            <w:r>
              <w:rPr>
                <w:rFonts w:ascii="宋体" w:hAnsi="宋体"/>
                <w:sz w:val="24"/>
                <w:szCs w:val="24"/>
              </w:rPr>
              <w:t>分</w:t>
            </w:r>
          </w:p>
        </w:tc>
        <w:tc>
          <w:tcPr>
            <w:tcW w:w="7652" w:type="dxa"/>
            <w:tcBorders>
              <w:top w:val="outset" w:color="auto" w:sz="6" w:space="0"/>
              <w:left w:val="outset" w:color="auto" w:sz="6" w:space="0"/>
              <w:bottom w:val="single" w:color="auto" w:sz="4" w:space="0"/>
              <w:right w:val="outset" w:color="auto" w:sz="6" w:space="0"/>
            </w:tcBorders>
            <w:vAlign w:val="center"/>
          </w:tcPr>
          <w:p w14:paraId="494AA0F8">
            <w:pPr>
              <w:spacing w:line="360" w:lineRule="auto"/>
              <w:rPr>
                <w:rFonts w:hint="eastAsia" w:ascii="宋体" w:hAnsi="宋体"/>
                <w:sz w:val="24"/>
                <w:szCs w:val="24"/>
              </w:rPr>
            </w:pPr>
            <w:r>
              <w:rPr>
                <w:rFonts w:ascii="宋体" w:hAnsi="宋体"/>
                <w:sz w:val="24"/>
                <w:szCs w:val="24"/>
              </w:rPr>
              <w:t>以本次最低经评审的报价为基准价（得满分），报价得分=（基准价/报价）×</w:t>
            </w:r>
            <w:r>
              <w:rPr>
                <w:rFonts w:hint="eastAsia" w:ascii="宋体" w:hAnsi="宋体"/>
                <w:sz w:val="24"/>
                <w:szCs w:val="24"/>
              </w:rPr>
              <w:t>10</w:t>
            </w:r>
          </w:p>
        </w:tc>
      </w:tr>
      <w:tr w14:paraId="426E217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restart"/>
            <w:tcBorders>
              <w:top w:val="single" w:color="auto" w:sz="4" w:space="0"/>
              <w:left w:val="single" w:color="auto" w:sz="4" w:space="0"/>
              <w:bottom w:val="single" w:color="auto" w:sz="4" w:space="0"/>
              <w:right w:val="single" w:color="auto" w:sz="4" w:space="0"/>
            </w:tcBorders>
            <w:vAlign w:val="center"/>
          </w:tcPr>
          <w:p w14:paraId="2C7A0B2E">
            <w:pPr>
              <w:spacing w:line="360" w:lineRule="auto"/>
              <w:jc w:val="center"/>
              <w:rPr>
                <w:rFonts w:hint="eastAsia" w:ascii="宋体" w:hAnsi="宋体"/>
                <w:sz w:val="24"/>
                <w:szCs w:val="24"/>
              </w:rPr>
            </w:pPr>
            <w:r>
              <w:rPr>
                <w:rFonts w:ascii="宋体" w:hAnsi="宋体"/>
                <w:sz w:val="24"/>
                <w:szCs w:val="24"/>
              </w:rPr>
              <w:t>技术</w:t>
            </w:r>
            <w:r>
              <w:rPr>
                <w:rFonts w:hint="eastAsia" w:ascii="宋体" w:hAnsi="宋体"/>
                <w:sz w:val="24"/>
                <w:szCs w:val="24"/>
              </w:rPr>
              <w:t>因素</w:t>
            </w:r>
          </w:p>
          <w:p w14:paraId="349DAA13">
            <w:pPr>
              <w:spacing w:line="360" w:lineRule="auto"/>
              <w:jc w:val="center"/>
              <w:rPr>
                <w:rFonts w:hint="eastAsia" w:ascii="宋体" w:hAnsi="宋体"/>
                <w:sz w:val="24"/>
                <w:szCs w:val="24"/>
              </w:rPr>
            </w:pPr>
            <w:r>
              <w:rPr>
                <w:rFonts w:hint="eastAsia" w:ascii="宋体" w:hAnsi="宋体"/>
                <w:sz w:val="24"/>
                <w:szCs w:val="24"/>
              </w:rPr>
              <w:t>(52分)</w:t>
            </w:r>
          </w:p>
        </w:tc>
        <w:tc>
          <w:tcPr>
            <w:tcW w:w="1347" w:type="dxa"/>
            <w:tcBorders>
              <w:top w:val="single" w:color="auto" w:sz="4" w:space="0"/>
              <w:left w:val="single" w:color="auto" w:sz="4" w:space="0"/>
              <w:bottom w:val="single" w:color="auto" w:sz="4" w:space="0"/>
              <w:right w:val="single" w:color="auto" w:sz="4" w:space="0"/>
            </w:tcBorders>
            <w:vAlign w:val="center"/>
          </w:tcPr>
          <w:p w14:paraId="4C06A256">
            <w:pPr>
              <w:spacing w:line="360" w:lineRule="auto"/>
              <w:jc w:val="center"/>
              <w:rPr>
                <w:rFonts w:hint="eastAsia" w:ascii="宋体" w:hAnsi="宋体"/>
                <w:sz w:val="24"/>
                <w:szCs w:val="24"/>
              </w:rPr>
            </w:pPr>
            <w:r>
              <w:rPr>
                <w:rFonts w:ascii="宋体" w:hAnsi="宋体"/>
                <w:sz w:val="24"/>
                <w:szCs w:val="24"/>
              </w:rPr>
              <w:t>技术参数响应</w:t>
            </w:r>
          </w:p>
        </w:tc>
        <w:tc>
          <w:tcPr>
            <w:tcW w:w="1276" w:type="dxa"/>
            <w:tcBorders>
              <w:top w:val="single" w:color="auto" w:sz="4" w:space="0"/>
              <w:left w:val="single" w:color="auto" w:sz="4" w:space="0"/>
              <w:bottom w:val="single" w:color="auto" w:sz="4" w:space="0"/>
              <w:right w:val="single" w:color="auto" w:sz="4" w:space="0"/>
            </w:tcBorders>
            <w:vAlign w:val="center"/>
          </w:tcPr>
          <w:p w14:paraId="67F31A66">
            <w:pPr>
              <w:spacing w:line="360" w:lineRule="auto"/>
              <w:jc w:val="center"/>
              <w:rPr>
                <w:rFonts w:hint="eastAsia" w:ascii="宋体" w:hAnsi="宋体"/>
                <w:sz w:val="24"/>
                <w:szCs w:val="24"/>
              </w:rPr>
            </w:pPr>
            <w:r>
              <w:rPr>
                <w:rFonts w:ascii="宋体" w:hAnsi="宋体"/>
                <w:sz w:val="24"/>
                <w:szCs w:val="24"/>
              </w:rPr>
              <w:t>2</w:t>
            </w:r>
            <w:r>
              <w:rPr>
                <w:rFonts w:hint="eastAsia" w:ascii="宋体" w:hAnsi="宋体"/>
                <w:sz w:val="24"/>
                <w:szCs w:val="24"/>
              </w:rPr>
              <w:t>8</w:t>
            </w:r>
            <w:r>
              <w:rPr>
                <w:rFonts w:ascii="宋体" w:hAnsi="宋体"/>
                <w:sz w:val="24"/>
                <w:szCs w:val="24"/>
              </w:rPr>
              <w:t>分</w:t>
            </w:r>
          </w:p>
        </w:tc>
        <w:tc>
          <w:tcPr>
            <w:tcW w:w="7652" w:type="dxa"/>
            <w:tcBorders>
              <w:top w:val="single" w:color="auto" w:sz="4" w:space="0"/>
              <w:left w:val="single" w:color="auto" w:sz="4" w:space="0"/>
              <w:bottom w:val="single" w:color="auto" w:sz="4" w:space="0"/>
              <w:right w:val="single" w:color="auto" w:sz="4" w:space="0"/>
            </w:tcBorders>
            <w:vAlign w:val="center"/>
          </w:tcPr>
          <w:p w14:paraId="5EFD71EF">
            <w:pPr>
              <w:spacing w:line="360" w:lineRule="auto"/>
              <w:rPr>
                <w:rFonts w:hint="eastAsia" w:ascii="宋体" w:hAnsi="宋体"/>
                <w:sz w:val="24"/>
                <w:szCs w:val="24"/>
              </w:rPr>
            </w:pPr>
            <w:r>
              <w:rPr>
                <w:rFonts w:ascii="宋体" w:hAnsi="宋体"/>
                <w:sz w:val="24"/>
                <w:szCs w:val="24"/>
              </w:rPr>
              <w:t>招标文件</w:t>
            </w:r>
            <w:r>
              <w:rPr>
                <w:rFonts w:hint="eastAsia" w:ascii="宋体" w:hAnsi="宋体"/>
                <w:sz w:val="24"/>
                <w:szCs w:val="24"/>
              </w:rPr>
              <w:t>功能要求及技术要求中</w:t>
            </w:r>
            <w:r>
              <w:rPr>
                <w:rFonts w:ascii="宋体" w:hAnsi="宋体"/>
                <w:sz w:val="24"/>
                <w:szCs w:val="24"/>
              </w:rPr>
              <w:t>：完全满足没有负偏离的得满分2</w:t>
            </w:r>
            <w:r>
              <w:rPr>
                <w:rFonts w:hint="eastAsia" w:ascii="宋体" w:hAnsi="宋体"/>
                <w:sz w:val="24"/>
                <w:szCs w:val="24"/>
              </w:rPr>
              <w:t>8</w:t>
            </w:r>
            <w:r>
              <w:rPr>
                <w:rFonts w:ascii="宋体" w:hAnsi="宋体"/>
                <w:sz w:val="24"/>
                <w:szCs w:val="24"/>
              </w:rPr>
              <w:t>分，加注“▲”号的功能要求有负偏离的，一项扣2分，未加注“▲”号的功能要求有负偏离的，一项扣1分，扣完为止。</w:t>
            </w:r>
          </w:p>
        </w:tc>
      </w:tr>
      <w:tr w14:paraId="0A24FA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182F6E84">
            <w:pPr>
              <w:spacing w:line="360" w:lineRule="auto"/>
              <w:jc w:val="center"/>
              <w:rPr>
                <w:rFonts w:hint="eastAsia" w:ascii="宋体" w:hAnsi="宋体"/>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5C001393">
            <w:pPr>
              <w:pStyle w:val="28"/>
              <w:spacing w:line="360" w:lineRule="auto"/>
              <w:jc w:val="center"/>
              <w:rPr>
                <w:rFonts w:hint="eastAsia" w:hAnsi="宋体" w:eastAsia="宋体" w:cs="Times New Roman"/>
                <w:color w:val="auto"/>
                <w:sz w:val="24"/>
                <w:szCs w:val="24"/>
              </w:rPr>
            </w:pPr>
            <w:r>
              <w:rPr>
                <w:rFonts w:hAnsi="宋体" w:eastAsia="宋体" w:cs="Times New Roman"/>
                <w:color w:val="auto"/>
                <w:sz w:val="24"/>
                <w:szCs w:val="24"/>
              </w:rPr>
              <w:t>项目</w:t>
            </w:r>
            <w:r>
              <w:rPr>
                <w:rFonts w:hint="eastAsia" w:hAnsi="宋体" w:eastAsia="宋体" w:cs="Times New Roman"/>
                <w:color w:val="auto"/>
                <w:sz w:val="24"/>
                <w:szCs w:val="24"/>
              </w:rPr>
              <w:t>实施</w:t>
            </w:r>
            <w:r>
              <w:rPr>
                <w:rFonts w:hAnsi="宋体" w:eastAsia="宋体" w:cs="Times New Roman"/>
                <w:color w:val="auto"/>
                <w:sz w:val="24"/>
                <w:szCs w:val="24"/>
              </w:rPr>
              <w:t>方案</w:t>
            </w:r>
          </w:p>
        </w:tc>
        <w:tc>
          <w:tcPr>
            <w:tcW w:w="1276" w:type="dxa"/>
            <w:tcBorders>
              <w:top w:val="single" w:color="auto" w:sz="4" w:space="0"/>
              <w:left w:val="single" w:color="auto" w:sz="4" w:space="0"/>
              <w:bottom w:val="single" w:color="auto" w:sz="4" w:space="0"/>
              <w:right w:val="single" w:color="auto" w:sz="4" w:space="0"/>
            </w:tcBorders>
            <w:vAlign w:val="center"/>
          </w:tcPr>
          <w:p w14:paraId="71BC3DD9">
            <w:pPr>
              <w:pStyle w:val="28"/>
              <w:spacing w:line="360" w:lineRule="auto"/>
              <w:jc w:val="center"/>
              <w:rPr>
                <w:rFonts w:hint="eastAsia" w:hAnsi="宋体" w:eastAsia="宋体" w:cs="Times New Roman"/>
                <w:color w:val="auto"/>
                <w:sz w:val="24"/>
                <w:szCs w:val="24"/>
              </w:rPr>
            </w:pPr>
            <w:r>
              <w:rPr>
                <w:rFonts w:hint="eastAsia" w:hAnsi="宋体" w:eastAsia="宋体" w:cs="Times New Roman"/>
                <w:color w:val="auto"/>
                <w:sz w:val="24"/>
                <w:szCs w:val="24"/>
              </w:rPr>
              <w:t>9分</w:t>
            </w:r>
          </w:p>
        </w:tc>
        <w:tc>
          <w:tcPr>
            <w:tcW w:w="7652" w:type="dxa"/>
            <w:tcBorders>
              <w:top w:val="single" w:color="auto" w:sz="4" w:space="0"/>
              <w:left w:val="single" w:color="auto" w:sz="4" w:space="0"/>
              <w:bottom w:val="single" w:color="auto" w:sz="4" w:space="0"/>
              <w:right w:val="single" w:color="auto" w:sz="4" w:space="0"/>
            </w:tcBorders>
          </w:tcPr>
          <w:p w14:paraId="4C559DC3">
            <w:pPr>
              <w:pStyle w:val="28"/>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提供明确、详尽、完整的项目实施方案，包括实施前准备工作、实施进度计划、项目质量保证、测试、验收等内容。根据方案的科学性、合理性和可操作性进行评分。方案详实具有可操作性得9分，实施方案不够全面，进度安排、组织架构不够合理，无法完全满足项目要求得4分，实施方案进度安排、组织架构不合理，方案不全面，可操作性差或未提供不得分。</w:t>
            </w:r>
          </w:p>
        </w:tc>
      </w:tr>
      <w:tr w14:paraId="5EBD56D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38443271">
            <w:pPr>
              <w:spacing w:line="360" w:lineRule="auto"/>
              <w:jc w:val="center"/>
              <w:rPr>
                <w:rFonts w:hint="eastAsia" w:ascii="宋体" w:hAnsi="宋体"/>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63C5770B">
            <w:pPr>
              <w:autoSpaceDE w:val="0"/>
              <w:autoSpaceDN w:val="0"/>
              <w:adjustRightInd w:val="0"/>
              <w:spacing w:line="360" w:lineRule="auto"/>
              <w:jc w:val="center"/>
              <w:rPr>
                <w:rFonts w:hint="eastAsia" w:ascii="宋体" w:hAnsi="宋体"/>
                <w:sz w:val="24"/>
                <w:szCs w:val="24"/>
              </w:rPr>
            </w:pPr>
            <w:r>
              <w:rPr>
                <w:rFonts w:ascii="宋体" w:hAnsi="宋体"/>
                <w:sz w:val="24"/>
                <w:szCs w:val="24"/>
              </w:rPr>
              <w:t>售后服务</w:t>
            </w:r>
            <w:r>
              <w:rPr>
                <w:rFonts w:hint="eastAsia" w:ascii="宋体" w:hAnsi="宋体"/>
                <w:sz w:val="24"/>
                <w:szCs w:val="24"/>
              </w:rPr>
              <w:t>方案</w:t>
            </w:r>
          </w:p>
        </w:tc>
        <w:tc>
          <w:tcPr>
            <w:tcW w:w="1276" w:type="dxa"/>
            <w:tcBorders>
              <w:top w:val="single" w:color="auto" w:sz="4" w:space="0"/>
              <w:left w:val="single" w:color="auto" w:sz="4" w:space="0"/>
              <w:bottom w:val="single" w:color="auto" w:sz="4" w:space="0"/>
              <w:right w:val="single" w:color="auto" w:sz="4" w:space="0"/>
            </w:tcBorders>
            <w:vAlign w:val="center"/>
          </w:tcPr>
          <w:p w14:paraId="4E7EC712">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7</w:t>
            </w:r>
            <w:r>
              <w:rPr>
                <w:rFonts w:ascii="宋体" w:hAnsi="宋体"/>
                <w:sz w:val="24"/>
                <w:szCs w:val="24"/>
              </w:rPr>
              <w:t>分</w:t>
            </w:r>
          </w:p>
        </w:tc>
        <w:tc>
          <w:tcPr>
            <w:tcW w:w="7652" w:type="dxa"/>
            <w:tcBorders>
              <w:top w:val="single" w:color="auto" w:sz="4" w:space="0"/>
              <w:left w:val="single" w:color="auto" w:sz="4" w:space="0"/>
              <w:bottom w:val="single" w:color="auto" w:sz="4" w:space="0"/>
              <w:right w:val="single" w:color="auto" w:sz="4" w:space="0"/>
            </w:tcBorders>
          </w:tcPr>
          <w:p w14:paraId="40C04C56">
            <w:pPr>
              <w:spacing w:line="360" w:lineRule="auto"/>
              <w:rPr>
                <w:rFonts w:hint="eastAsia" w:ascii="宋体" w:hAnsi="宋体"/>
                <w:sz w:val="24"/>
                <w:szCs w:val="24"/>
              </w:rPr>
            </w:pPr>
            <w:r>
              <w:rPr>
                <w:rFonts w:hint="eastAsia" w:ascii="宋体" w:hAnsi="宋体"/>
                <w:sz w:val="24"/>
                <w:szCs w:val="24"/>
              </w:rPr>
              <w:t>具备完备的售后服务体系，提供售后服务方案包含有：售后服务期限、服务内容、服务方式、售后服务质量保证措施等。根据方案内容进行评分，方案全面合理，内容具体、适用性强，可全面满足采购人的售后服务需求得7分；售后服务方案较为全面，有基本的服务流程和内容，基本满足采购人的要求得3</w:t>
            </w:r>
            <w:r>
              <w:rPr>
                <w:rFonts w:ascii="宋体" w:hAnsi="宋体"/>
                <w:sz w:val="24"/>
                <w:szCs w:val="24"/>
              </w:rPr>
              <w:t>分；售后服务方案适用性差、不能完全满足采购人的需求或未提供不得分。</w:t>
            </w:r>
          </w:p>
        </w:tc>
      </w:tr>
      <w:tr w14:paraId="4638C51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38" w:hRule="atLeast"/>
          <w:jc w:val="center"/>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32A207C0">
            <w:pPr>
              <w:spacing w:line="360" w:lineRule="auto"/>
              <w:jc w:val="center"/>
              <w:rPr>
                <w:rFonts w:hint="eastAsia" w:ascii="宋体" w:hAnsi="宋体"/>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01CDF78E">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培训方案</w:t>
            </w:r>
          </w:p>
        </w:tc>
        <w:tc>
          <w:tcPr>
            <w:tcW w:w="1276" w:type="dxa"/>
            <w:tcBorders>
              <w:top w:val="single" w:color="auto" w:sz="4" w:space="0"/>
              <w:left w:val="single" w:color="auto" w:sz="4" w:space="0"/>
              <w:bottom w:val="single" w:color="auto" w:sz="4" w:space="0"/>
              <w:right w:val="single" w:color="auto" w:sz="4" w:space="0"/>
            </w:tcBorders>
            <w:vAlign w:val="center"/>
          </w:tcPr>
          <w:p w14:paraId="02160E41">
            <w:pPr>
              <w:autoSpaceDE w:val="0"/>
              <w:autoSpaceDN w:val="0"/>
              <w:adjustRightInd w:val="0"/>
              <w:spacing w:line="360" w:lineRule="auto"/>
              <w:jc w:val="center"/>
              <w:rPr>
                <w:rFonts w:hint="eastAsia" w:ascii="宋体" w:hAnsi="宋体"/>
                <w:sz w:val="24"/>
                <w:szCs w:val="24"/>
              </w:rPr>
            </w:pPr>
            <w:r>
              <w:rPr>
                <w:rFonts w:hint="eastAsia" w:ascii="宋体" w:hAnsi="宋体"/>
                <w:sz w:val="24"/>
                <w:szCs w:val="24"/>
              </w:rPr>
              <w:t>8分</w:t>
            </w:r>
          </w:p>
        </w:tc>
        <w:tc>
          <w:tcPr>
            <w:tcW w:w="7652" w:type="dxa"/>
            <w:tcBorders>
              <w:top w:val="single" w:color="auto" w:sz="4" w:space="0"/>
              <w:left w:val="single" w:color="auto" w:sz="4" w:space="0"/>
              <w:bottom w:val="single" w:color="auto" w:sz="4" w:space="0"/>
              <w:right w:val="single" w:color="auto" w:sz="4" w:space="0"/>
            </w:tcBorders>
          </w:tcPr>
          <w:p w14:paraId="736A2B96">
            <w:pPr>
              <w:spacing w:line="360" w:lineRule="auto"/>
              <w:rPr>
                <w:rFonts w:hint="eastAsia" w:ascii="宋体" w:hAnsi="宋体"/>
                <w:sz w:val="24"/>
                <w:szCs w:val="24"/>
              </w:rPr>
            </w:pPr>
            <w:r>
              <w:rPr>
                <w:rFonts w:hint="eastAsia" w:ascii="宋体" w:hAnsi="宋体"/>
                <w:sz w:val="24"/>
                <w:szCs w:val="24"/>
              </w:rPr>
              <w:t>提供完善、详细的培训方案，包括培训对象、培训形式、培训内容、培训安排等内容。根据方案的全面性、具体性、适用性进行评分。方案全面合理，内容具体、适用性强，可全面满足采购人培训需求得8分；方案较为全面，有基本的培训计划，内容基本满足采购人的要求得4分；方案适用性差、不能完全满足采购人的需求或未提供不得分。</w:t>
            </w:r>
          </w:p>
        </w:tc>
      </w:tr>
      <w:tr w14:paraId="59DD86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restart"/>
            <w:tcBorders>
              <w:top w:val="single" w:color="auto" w:sz="4" w:space="0"/>
              <w:left w:val="outset" w:color="auto" w:sz="6" w:space="0"/>
              <w:right w:val="outset" w:color="auto" w:sz="6" w:space="0"/>
            </w:tcBorders>
            <w:vAlign w:val="center"/>
          </w:tcPr>
          <w:p w14:paraId="7AF88DB6">
            <w:pPr>
              <w:spacing w:line="360" w:lineRule="auto"/>
              <w:jc w:val="center"/>
              <w:rPr>
                <w:rFonts w:hint="eastAsia" w:ascii="宋体" w:hAnsi="宋体"/>
                <w:sz w:val="24"/>
                <w:szCs w:val="24"/>
              </w:rPr>
            </w:pPr>
            <w:r>
              <w:rPr>
                <w:rFonts w:hint="eastAsia" w:ascii="宋体" w:hAnsi="宋体"/>
                <w:sz w:val="24"/>
                <w:szCs w:val="24"/>
              </w:rPr>
              <w:t>商务因素</w:t>
            </w:r>
          </w:p>
          <w:p w14:paraId="61CDFDB0">
            <w:pPr>
              <w:spacing w:line="360" w:lineRule="auto"/>
              <w:jc w:val="center"/>
              <w:rPr>
                <w:rFonts w:hint="eastAsia" w:ascii="宋体" w:hAnsi="宋体"/>
                <w:sz w:val="24"/>
                <w:szCs w:val="24"/>
              </w:rPr>
            </w:pPr>
            <w:r>
              <w:rPr>
                <w:rFonts w:hint="eastAsia" w:ascii="宋体" w:hAnsi="宋体"/>
                <w:sz w:val="24"/>
                <w:szCs w:val="24"/>
              </w:rPr>
              <w:t>(38分)</w:t>
            </w:r>
          </w:p>
        </w:tc>
        <w:tc>
          <w:tcPr>
            <w:tcW w:w="1347" w:type="dxa"/>
            <w:tcBorders>
              <w:top w:val="single" w:color="auto" w:sz="4" w:space="0"/>
              <w:left w:val="outset" w:color="auto" w:sz="6" w:space="0"/>
              <w:bottom w:val="single" w:color="auto" w:sz="4" w:space="0"/>
              <w:right w:val="outset" w:color="auto" w:sz="6" w:space="0"/>
            </w:tcBorders>
            <w:vAlign w:val="center"/>
          </w:tcPr>
          <w:p w14:paraId="755D30C3">
            <w:pPr>
              <w:autoSpaceDE w:val="0"/>
              <w:autoSpaceDN w:val="0"/>
              <w:adjustRightInd w:val="0"/>
              <w:spacing w:line="360" w:lineRule="auto"/>
              <w:rPr>
                <w:rFonts w:hint="eastAsia" w:ascii="宋体" w:hAnsi="宋体"/>
                <w:sz w:val="24"/>
                <w:szCs w:val="24"/>
              </w:rPr>
            </w:pPr>
            <w:r>
              <w:rPr>
                <w:rFonts w:hAnsi="宋体"/>
                <w:sz w:val="24"/>
                <w:szCs w:val="24"/>
              </w:rPr>
              <w:t>项目</w:t>
            </w:r>
            <w:r>
              <w:rPr>
                <w:rFonts w:hint="eastAsia" w:hAnsi="宋体"/>
                <w:sz w:val="24"/>
                <w:szCs w:val="24"/>
              </w:rPr>
              <w:t>负责人</w:t>
            </w:r>
          </w:p>
        </w:tc>
        <w:tc>
          <w:tcPr>
            <w:tcW w:w="1276" w:type="dxa"/>
            <w:tcBorders>
              <w:top w:val="single" w:color="auto" w:sz="4" w:space="0"/>
              <w:left w:val="outset" w:color="auto" w:sz="6" w:space="0"/>
              <w:bottom w:val="outset" w:color="auto" w:sz="6" w:space="0"/>
              <w:right w:val="outset" w:color="auto" w:sz="6" w:space="0"/>
            </w:tcBorders>
            <w:vAlign w:val="center"/>
          </w:tcPr>
          <w:p w14:paraId="4B284400">
            <w:pPr>
              <w:autoSpaceDE w:val="0"/>
              <w:autoSpaceDN w:val="0"/>
              <w:adjustRightInd w:val="0"/>
              <w:spacing w:line="360" w:lineRule="auto"/>
              <w:jc w:val="center"/>
              <w:rPr>
                <w:rFonts w:hint="eastAsia" w:ascii="宋体" w:hAnsi="宋体"/>
                <w:sz w:val="24"/>
                <w:szCs w:val="24"/>
              </w:rPr>
            </w:pPr>
            <w:r>
              <w:rPr>
                <w:rFonts w:hint="eastAsia" w:hAnsi="宋体"/>
                <w:sz w:val="24"/>
                <w:szCs w:val="24"/>
              </w:rPr>
              <w:t>3</w:t>
            </w:r>
            <w:r>
              <w:rPr>
                <w:rFonts w:hAnsi="宋体"/>
                <w:sz w:val="24"/>
                <w:szCs w:val="24"/>
              </w:rPr>
              <w:t>分</w:t>
            </w:r>
          </w:p>
        </w:tc>
        <w:tc>
          <w:tcPr>
            <w:tcW w:w="7652" w:type="dxa"/>
            <w:tcBorders>
              <w:top w:val="single" w:color="auto" w:sz="4" w:space="0"/>
              <w:left w:val="outset" w:color="auto" w:sz="6" w:space="0"/>
              <w:bottom w:val="outset" w:color="auto" w:sz="6" w:space="0"/>
              <w:right w:val="outset" w:color="auto" w:sz="6" w:space="0"/>
            </w:tcBorders>
            <w:vAlign w:val="center"/>
          </w:tcPr>
          <w:p w14:paraId="5C48E913">
            <w:pPr>
              <w:spacing w:line="360" w:lineRule="auto"/>
              <w:rPr>
                <w:rFonts w:hint="eastAsia" w:ascii="宋体" w:hAnsi="宋体"/>
                <w:sz w:val="24"/>
                <w:szCs w:val="24"/>
              </w:rPr>
            </w:pPr>
            <w:r>
              <w:rPr>
                <w:rFonts w:hint="eastAsia" w:ascii="宋体" w:hAnsi="宋体"/>
                <w:sz w:val="24"/>
                <w:szCs w:val="24"/>
              </w:rPr>
              <w:t>项目负责人具有计算机技术与软件专业技术资格高级证书得3分，具有计算机技术与软件专业技术资格中级证书，得1分，其他不得分，本项最高得3分；</w:t>
            </w:r>
          </w:p>
          <w:p w14:paraId="40E7BB5D">
            <w:pPr>
              <w:spacing w:line="360" w:lineRule="auto"/>
              <w:rPr>
                <w:rFonts w:hint="eastAsia" w:ascii="宋体" w:hAnsi="宋体"/>
                <w:sz w:val="24"/>
                <w:szCs w:val="24"/>
              </w:rPr>
            </w:pPr>
            <w:r>
              <w:rPr>
                <w:rFonts w:hint="eastAsia" w:ascii="宋体" w:hAnsi="宋体"/>
                <w:sz w:val="24"/>
                <w:szCs w:val="24"/>
              </w:rPr>
              <w:t>评分依据：需提供相关证书复印件，加盖公章。</w:t>
            </w:r>
          </w:p>
        </w:tc>
      </w:tr>
      <w:tr w14:paraId="24F50EE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left w:val="outset" w:color="auto" w:sz="6" w:space="0"/>
              <w:right w:val="outset" w:color="auto" w:sz="6" w:space="0"/>
            </w:tcBorders>
            <w:vAlign w:val="center"/>
          </w:tcPr>
          <w:p w14:paraId="5D208E87">
            <w:pPr>
              <w:spacing w:line="360" w:lineRule="auto"/>
              <w:jc w:val="center"/>
              <w:rPr>
                <w:rFonts w:hint="eastAsia" w:ascii="宋体" w:hAnsi="宋体"/>
                <w:sz w:val="24"/>
                <w:szCs w:val="24"/>
              </w:rPr>
            </w:pPr>
          </w:p>
        </w:tc>
        <w:tc>
          <w:tcPr>
            <w:tcW w:w="1347" w:type="dxa"/>
            <w:tcBorders>
              <w:top w:val="outset" w:color="auto" w:sz="6" w:space="0"/>
              <w:left w:val="outset" w:color="auto" w:sz="6" w:space="0"/>
              <w:bottom w:val="single" w:color="auto" w:sz="4" w:space="0"/>
              <w:right w:val="outset" w:color="auto" w:sz="6" w:space="0"/>
            </w:tcBorders>
            <w:vAlign w:val="center"/>
          </w:tcPr>
          <w:p w14:paraId="7BDEB230">
            <w:pPr>
              <w:autoSpaceDE w:val="0"/>
              <w:autoSpaceDN w:val="0"/>
              <w:adjustRightInd w:val="0"/>
              <w:spacing w:line="360" w:lineRule="auto"/>
              <w:jc w:val="center"/>
              <w:rPr>
                <w:rFonts w:hint="eastAsia" w:hAnsi="宋体"/>
                <w:sz w:val="24"/>
                <w:szCs w:val="24"/>
              </w:rPr>
            </w:pPr>
            <w:r>
              <w:rPr>
                <w:rFonts w:hint="eastAsia" w:hAnsi="宋体"/>
                <w:sz w:val="24"/>
                <w:szCs w:val="24"/>
              </w:rPr>
              <w:t>项目实施负责人</w:t>
            </w:r>
          </w:p>
        </w:tc>
        <w:tc>
          <w:tcPr>
            <w:tcW w:w="1276" w:type="dxa"/>
            <w:tcBorders>
              <w:top w:val="outset" w:color="auto" w:sz="6" w:space="0"/>
              <w:left w:val="outset" w:color="auto" w:sz="6" w:space="0"/>
              <w:bottom w:val="outset" w:color="auto" w:sz="6" w:space="0"/>
              <w:right w:val="outset" w:color="auto" w:sz="6" w:space="0"/>
            </w:tcBorders>
            <w:vAlign w:val="center"/>
          </w:tcPr>
          <w:p w14:paraId="0A73DDD6">
            <w:pPr>
              <w:autoSpaceDE w:val="0"/>
              <w:autoSpaceDN w:val="0"/>
              <w:adjustRightInd w:val="0"/>
              <w:spacing w:line="360" w:lineRule="auto"/>
              <w:jc w:val="center"/>
              <w:rPr>
                <w:rFonts w:hint="eastAsia" w:hAnsi="宋体"/>
                <w:sz w:val="24"/>
                <w:szCs w:val="24"/>
              </w:rPr>
            </w:pPr>
            <w:r>
              <w:rPr>
                <w:rFonts w:hint="eastAsia" w:hAnsi="宋体"/>
                <w:sz w:val="24"/>
                <w:szCs w:val="24"/>
              </w:rPr>
              <w:t>6分</w:t>
            </w:r>
          </w:p>
        </w:tc>
        <w:tc>
          <w:tcPr>
            <w:tcW w:w="7652" w:type="dxa"/>
            <w:tcBorders>
              <w:top w:val="outset" w:color="auto" w:sz="6" w:space="0"/>
              <w:left w:val="outset" w:color="auto" w:sz="6" w:space="0"/>
              <w:bottom w:val="outset" w:color="auto" w:sz="6" w:space="0"/>
              <w:right w:val="outset" w:color="auto" w:sz="6" w:space="0"/>
            </w:tcBorders>
          </w:tcPr>
          <w:p w14:paraId="345AC921">
            <w:pPr>
              <w:spacing w:line="360" w:lineRule="auto"/>
              <w:rPr>
                <w:rFonts w:hint="eastAsia" w:ascii="宋体" w:hAnsi="宋体"/>
                <w:sz w:val="24"/>
                <w:szCs w:val="24"/>
              </w:rPr>
            </w:pPr>
            <w:r>
              <w:rPr>
                <w:rFonts w:hint="eastAsia" w:ascii="宋体" w:hAnsi="宋体"/>
                <w:sz w:val="24"/>
                <w:szCs w:val="24"/>
              </w:rPr>
              <w:t>项目实施负责人为计算机或软件相关专业人员，并具备同类项目实施经验：</w:t>
            </w:r>
          </w:p>
          <w:p w14:paraId="3FEFE02C">
            <w:pPr>
              <w:pStyle w:val="19"/>
              <w:numPr>
                <w:ilvl w:val="0"/>
                <w:numId w:val="10"/>
              </w:numPr>
              <w:spacing w:line="360" w:lineRule="auto"/>
              <w:ind w:firstLineChars="0"/>
              <w:rPr>
                <w:rFonts w:hint="eastAsia" w:ascii="宋体" w:hAnsi="宋体"/>
                <w:sz w:val="24"/>
                <w:szCs w:val="24"/>
              </w:rPr>
            </w:pPr>
            <w:r>
              <w:rPr>
                <w:rFonts w:hint="eastAsia" w:ascii="宋体" w:hAnsi="宋体"/>
                <w:sz w:val="24"/>
                <w:szCs w:val="24"/>
              </w:rPr>
              <w:t>同类项目经验≥7年得6分；</w:t>
            </w:r>
          </w:p>
          <w:p w14:paraId="4E8FEFE7">
            <w:pPr>
              <w:pStyle w:val="19"/>
              <w:numPr>
                <w:ilvl w:val="0"/>
                <w:numId w:val="10"/>
              </w:numPr>
              <w:spacing w:line="360" w:lineRule="auto"/>
              <w:ind w:firstLineChars="0"/>
              <w:rPr>
                <w:rFonts w:hint="eastAsia" w:ascii="宋体" w:hAnsi="宋体"/>
                <w:sz w:val="24"/>
                <w:szCs w:val="24"/>
              </w:rPr>
            </w:pPr>
            <w:r>
              <w:rPr>
                <w:rFonts w:hint="eastAsia" w:ascii="宋体" w:hAnsi="宋体"/>
                <w:sz w:val="24"/>
                <w:szCs w:val="24"/>
              </w:rPr>
              <w:t>5年≤同类项目经验＜7年得2分；</w:t>
            </w:r>
          </w:p>
          <w:p w14:paraId="677E8A40">
            <w:pPr>
              <w:pStyle w:val="19"/>
              <w:numPr>
                <w:ilvl w:val="0"/>
                <w:numId w:val="10"/>
              </w:numPr>
              <w:spacing w:line="360" w:lineRule="auto"/>
              <w:ind w:firstLineChars="0"/>
              <w:rPr>
                <w:rFonts w:hint="eastAsia" w:ascii="宋体" w:hAnsi="宋体"/>
                <w:sz w:val="24"/>
                <w:szCs w:val="24"/>
              </w:rPr>
            </w:pPr>
            <w:r>
              <w:rPr>
                <w:rFonts w:hint="eastAsia" w:ascii="宋体" w:hAnsi="宋体"/>
                <w:sz w:val="24"/>
                <w:szCs w:val="24"/>
              </w:rPr>
              <w:t>3年≤同类项目经验＜</w:t>
            </w:r>
            <w:r>
              <w:rPr>
                <w:rFonts w:ascii="宋体" w:hAnsi="宋体"/>
                <w:sz w:val="24"/>
                <w:szCs w:val="24"/>
              </w:rPr>
              <w:t>5</w:t>
            </w:r>
            <w:r>
              <w:rPr>
                <w:rFonts w:hint="eastAsia" w:ascii="宋体" w:hAnsi="宋体"/>
                <w:sz w:val="24"/>
                <w:szCs w:val="24"/>
              </w:rPr>
              <w:t>年得1分，低于3年不得分。</w:t>
            </w:r>
          </w:p>
          <w:p w14:paraId="46AC69E5">
            <w:pPr>
              <w:spacing w:line="360" w:lineRule="auto"/>
              <w:rPr>
                <w:rFonts w:hint="eastAsia" w:ascii="宋体" w:hAnsi="宋体"/>
                <w:sz w:val="24"/>
                <w:szCs w:val="24"/>
              </w:rPr>
            </w:pPr>
            <w:r>
              <w:rPr>
                <w:rFonts w:hint="eastAsia" w:ascii="宋体" w:hAnsi="宋体"/>
                <w:sz w:val="24"/>
                <w:szCs w:val="24"/>
              </w:rPr>
              <w:t>注：同类项目是指：合理用药相关系统。</w:t>
            </w:r>
          </w:p>
          <w:p w14:paraId="3D2F30DF">
            <w:pPr>
              <w:spacing w:line="360" w:lineRule="auto"/>
              <w:rPr>
                <w:rFonts w:hint="eastAsia" w:ascii="宋体" w:hAnsi="宋体"/>
                <w:sz w:val="24"/>
                <w:szCs w:val="24"/>
              </w:rPr>
            </w:pPr>
            <w:r>
              <w:rPr>
                <w:rFonts w:hint="eastAsia" w:ascii="宋体" w:hAnsi="宋体"/>
                <w:sz w:val="24"/>
                <w:szCs w:val="24"/>
              </w:rPr>
              <w:t>评分依据：提供实施负责人毕业证书复印件，以及实施负责人所负责项目的合同关键信息和相应项目的最终用户(医院</w:t>
            </w:r>
            <w:r>
              <w:rPr>
                <w:rFonts w:ascii="宋体" w:hAnsi="宋体"/>
                <w:sz w:val="24"/>
                <w:szCs w:val="24"/>
              </w:rPr>
              <w:t>)</w:t>
            </w:r>
            <w:r>
              <w:rPr>
                <w:rFonts w:hint="eastAsia" w:ascii="宋体" w:hAnsi="宋体"/>
                <w:sz w:val="24"/>
                <w:szCs w:val="24"/>
              </w:rPr>
              <w:t>盖章验收单复印件，加盖公章。</w:t>
            </w:r>
          </w:p>
        </w:tc>
      </w:tr>
      <w:tr w14:paraId="6515527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left w:val="outset" w:color="auto" w:sz="6" w:space="0"/>
              <w:right w:val="outset" w:color="auto" w:sz="6" w:space="0"/>
            </w:tcBorders>
            <w:vAlign w:val="center"/>
          </w:tcPr>
          <w:p w14:paraId="0DEF87C3">
            <w:pPr>
              <w:spacing w:line="360" w:lineRule="auto"/>
              <w:jc w:val="center"/>
              <w:rPr>
                <w:rFonts w:hint="eastAsia" w:ascii="宋体" w:hAnsi="宋体"/>
                <w:sz w:val="24"/>
                <w:szCs w:val="24"/>
              </w:rPr>
            </w:pPr>
          </w:p>
        </w:tc>
        <w:tc>
          <w:tcPr>
            <w:tcW w:w="1347" w:type="dxa"/>
            <w:tcBorders>
              <w:top w:val="outset" w:color="auto" w:sz="6" w:space="0"/>
              <w:left w:val="outset" w:color="auto" w:sz="6" w:space="0"/>
              <w:bottom w:val="single" w:color="auto" w:sz="4" w:space="0"/>
              <w:right w:val="outset" w:color="auto" w:sz="6" w:space="0"/>
            </w:tcBorders>
            <w:vAlign w:val="center"/>
          </w:tcPr>
          <w:p w14:paraId="5EB9FAA3">
            <w:pPr>
              <w:autoSpaceDE w:val="0"/>
              <w:autoSpaceDN w:val="0"/>
              <w:adjustRightInd w:val="0"/>
              <w:spacing w:line="360" w:lineRule="auto"/>
              <w:jc w:val="center"/>
              <w:rPr>
                <w:rFonts w:hint="eastAsia" w:hAnsi="宋体"/>
                <w:sz w:val="24"/>
                <w:szCs w:val="24"/>
              </w:rPr>
            </w:pPr>
            <w:r>
              <w:rPr>
                <w:rFonts w:hint="eastAsia" w:hAnsi="宋体"/>
                <w:sz w:val="24"/>
                <w:szCs w:val="24"/>
              </w:rPr>
              <w:t>项目团队</w:t>
            </w:r>
          </w:p>
        </w:tc>
        <w:tc>
          <w:tcPr>
            <w:tcW w:w="1276" w:type="dxa"/>
            <w:tcBorders>
              <w:top w:val="outset" w:color="auto" w:sz="6" w:space="0"/>
              <w:left w:val="outset" w:color="auto" w:sz="6" w:space="0"/>
              <w:bottom w:val="outset" w:color="auto" w:sz="6" w:space="0"/>
              <w:right w:val="outset" w:color="auto" w:sz="6" w:space="0"/>
            </w:tcBorders>
            <w:vAlign w:val="center"/>
          </w:tcPr>
          <w:p w14:paraId="62D8CB40">
            <w:pPr>
              <w:autoSpaceDE w:val="0"/>
              <w:autoSpaceDN w:val="0"/>
              <w:adjustRightInd w:val="0"/>
              <w:spacing w:line="360" w:lineRule="auto"/>
              <w:jc w:val="center"/>
              <w:rPr>
                <w:rFonts w:hint="eastAsia" w:hAnsi="宋体"/>
                <w:sz w:val="24"/>
                <w:szCs w:val="24"/>
              </w:rPr>
            </w:pPr>
            <w:r>
              <w:rPr>
                <w:rFonts w:hint="eastAsia" w:hAnsi="宋体"/>
                <w:sz w:val="24"/>
                <w:szCs w:val="24"/>
              </w:rPr>
              <w:t>4分</w:t>
            </w:r>
          </w:p>
        </w:tc>
        <w:tc>
          <w:tcPr>
            <w:tcW w:w="7652" w:type="dxa"/>
            <w:tcBorders>
              <w:top w:val="outset" w:color="auto" w:sz="6" w:space="0"/>
              <w:left w:val="outset" w:color="auto" w:sz="6" w:space="0"/>
              <w:bottom w:val="outset" w:color="auto" w:sz="6" w:space="0"/>
              <w:right w:val="outset" w:color="auto" w:sz="6" w:space="0"/>
            </w:tcBorders>
          </w:tcPr>
          <w:p w14:paraId="04F84632">
            <w:pPr>
              <w:spacing w:line="360" w:lineRule="auto"/>
              <w:rPr>
                <w:rFonts w:hint="eastAsia" w:ascii="宋体" w:hAnsi="宋体"/>
                <w:sz w:val="24"/>
                <w:szCs w:val="24"/>
              </w:rPr>
            </w:pPr>
            <w:r>
              <w:rPr>
                <w:rFonts w:hint="eastAsia" w:ascii="宋体" w:hAnsi="宋体"/>
                <w:sz w:val="24"/>
                <w:szCs w:val="24"/>
              </w:rPr>
              <w:t>拟派项目团队成员具有药学、计算机信息技术等专业背景，团队成员具有执业药师证书、系统集成项目管理工程师证书、软件设计师证书、系统分析师证书、软件测评师证书，每提供1人得1分，同一人不重复计分，此项最多得4分。</w:t>
            </w:r>
          </w:p>
          <w:p w14:paraId="4B5E0D6D">
            <w:pPr>
              <w:spacing w:line="360" w:lineRule="auto"/>
              <w:rPr>
                <w:rFonts w:hint="eastAsia" w:ascii="宋体" w:hAnsi="宋体"/>
                <w:sz w:val="24"/>
                <w:szCs w:val="24"/>
              </w:rPr>
            </w:pPr>
            <w:r>
              <w:rPr>
                <w:rFonts w:hint="eastAsia" w:ascii="宋体" w:hAnsi="宋体"/>
                <w:sz w:val="24"/>
                <w:szCs w:val="24"/>
              </w:rPr>
              <w:t>评分依据：需提供团队成员相关证书复印件，加盖公章。</w:t>
            </w:r>
          </w:p>
        </w:tc>
      </w:tr>
      <w:tr w14:paraId="5469BC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left w:val="outset" w:color="auto" w:sz="6" w:space="0"/>
              <w:right w:val="outset" w:color="auto" w:sz="6" w:space="0"/>
            </w:tcBorders>
            <w:vAlign w:val="center"/>
          </w:tcPr>
          <w:p w14:paraId="7666880F">
            <w:pPr>
              <w:spacing w:line="360" w:lineRule="auto"/>
              <w:jc w:val="center"/>
              <w:rPr>
                <w:rFonts w:hint="eastAsia" w:ascii="宋体" w:hAnsi="宋体"/>
                <w:sz w:val="24"/>
                <w:szCs w:val="24"/>
              </w:rPr>
            </w:pPr>
          </w:p>
        </w:tc>
        <w:tc>
          <w:tcPr>
            <w:tcW w:w="1347" w:type="dxa"/>
            <w:tcBorders>
              <w:top w:val="outset" w:color="auto" w:sz="6" w:space="0"/>
              <w:left w:val="outset" w:color="auto" w:sz="6" w:space="0"/>
              <w:bottom w:val="single" w:color="auto" w:sz="4" w:space="0"/>
              <w:right w:val="outset" w:color="auto" w:sz="6" w:space="0"/>
            </w:tcBorders>
            <w:vAlign w:val="center"/>
          </w:tcPr>
          <w:p w14:paraId="6967E21A">
            <w:pPr>
              <w:autoSpaceDE w:val="0"/>
              <w:autoSpaceDN w:val="0"/>
              <w:adjustRightInd w:val="0"/>
              <w:spacing w:line="360" w:lineRule="auto"/>
              <w:jc w:val="center"/>
              <w:rPr>
                <w:rFonts w:hint="eastAsia" w:hAnsi="宋体"/>
                <w:sz w:val="24"/>
                <w:szCs w:val="24"/>
              </w:rPr>
            </w:pPr>
            <w:r>
              <w:rPr>
                <w:rFonts w:hint="eastAsia" w:hAnsi="宋体"/>
                <w:sz w:val="24"/>
                <w:szCs w:val="24"/>
              </w:rPr>
              <w:t>研发实力</w:t>
            </w:r>
          </w:p>
        </w:tc>
        <w:tc>
          <w:tcPr>
            <w:tcW w:w="1276" w:type="dxa"/>
            <w:tcBorders>
              <w:top w:val="outset" w:color="auto" w:sz="6" w:space="0"/>
              <w:left w:val="outset" w:color="auto" w:sz="6" w:space="0"/>
              <w:bottom w:val="outset" w:color="auto" w:sz="6" w:space="0"/>
              <w:right w:val="outset" w:color="auto" w:sz="6" w:space="0"/>
            </w:tcBorders>
            <w:vAlign w:val="center"/>
          </w:tcPr>
          <w:p w14:paraId="27BA340C">
            <w:pPr>
              <w:autoSpaceDE w:val="0"/>
              <w:autoSpaceDN w:val="0"/>
              <w:adjustRightInd w:val="0"/>
              <w:spacing w:line="360" w:lineRule="auto"/>
              <w:jc w:val="center"/>
              <w:rPr>
                <w:rFonts w:hint="eastAsia" w:hAnsi="宋体"/>
                <w:sz w:val="24"/>
                <w:szCs w:val="24"/>
              </w:rPr>
            </w:pPr>
            <w:r>
              <w:rPr>
                <w:rFonts w:hint="eastAsia" w:hAnsi="宋体"/>
                <w:sz w:val="24"/>
                <w:szCs w:val="24"/>
              </w:rPr>
              <w:t>3分</w:t>
            </w:r>
          </w:p>
        </w:tc>
        <w:tc>
          <w:tcPr>
            <w:tcW w:w="7652" w:type="dxa"/>
            <w:tcBorders>
              <w:top w:val="outset" w:color="auto" w:sz="6" w:space="0"/>
              <w:left w:val="outset" w:color="auto" w:sz="6" w:space="0"/>
              <w:bottom w:val="outset" w:color="auto" w:sz="6" w:space="0"/>
              <w:right w:val="outset" w:color="auto" w:sz="6" w:space="0"/>
            </w:tcBorders>
          </w:tcPr>
          <w:p w14:paraId="7F3E1CC2">
            <w:pPr>
              <w:spacing w:line="360" w:lineRule="auto"/>
              <w:rPr>
                <w:rFonts w:hint="eastAsia" w:ascii="宋体" w:hAnsi="宋体"/>
                <w:sz w:val="24"/>
                <w:szCs w:val="24"/>
              </w:rPr>
            </w:pPr>
            <w:r>
              <w:rPr>
                <w:rFonts w:hint="eastAsia" w:ascii="宋体" w:hAnsi="宋体"/>
                <w:sz w:val="24"/>
                <w:szCs w:val="24"/>
              </w:rPr>
              <w:t>投标产品制造商具有本项目投标产品自主知识产权，可提供投标产品软件著作权证书扫描件加盖公章得3分，不提供不得分。</w:t>
            </w:r>
          </w:p>
        </w:tc>
      </w:tr>
      <w:tr w14:paraId="1CA5BC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left w:val="outset" w:color="auto" w:sz="6" w:space="0"/>
              <w:right w:val="outset" w:color="auto" w:sz="6" w:space="0"/>
            </w:tcBorders>
            <w:vAlign w:val="center"/>
          </w:tcPr>
          <w:p w14:paraId="21BFD14B">
            <w:pPr>
              <w:spacing w:line="360" w:lineRule="auto"/>
              <w:jc w:val="center"/>
              <w:rPr>
                <w:rFonts w:hint="eastAsia" w:ascii="宋体" w:hAnsi="宋体"/>
                <w:sz w:val="24"/>
                <w:szCs w:val="24"/>
              </w:rPr>
            </w:pPr>
          </w:p>
        </w:tc>
        <w:tc>
          <w:tcPr>
            <w:tcW w:w="1347" w:type="dxa"/>
            <w:tcBorders>
              <w:top w:val="single" w:color="auto" w:sz="4" w:space="0"/>
              <w:left w:val="outset" w:color="auto" w:sz="6" w:space="0"/>
              <w:bottom w:val="single" w:color="auto" w:sz="4" w:space="0"/>
              <w:right w:val="single" w:color="auto" w:sz="4" w:space="0"/>
            </w:tcBorders>
            <w:vAlign w:val="center"/>
          </w:tcPr>
          <w:p w14:paraId="7BEF49AF">
            <w:pPr>
              <w:pStyle w:val="28"/>
              <w:spacing w:line="360" w:lineRule="auto"/>
              <w:jc w:val="center"/>
              <w:rPr>
                <w:rFonts w:hint="eastAsia" w:hAnsi="宋体" w:eastAsia="宋体" w:cs="Times New Roman"/>
                <w:color w:val="auto"/>
                <w:sz w:val="24"/>
                <w:szCs w:val="24"/>
              </w:rPr>
            </w:pPr>
            <w:r>
              <w:rPr>
                <w:rFonts w:hint="eastAsia" w:hAnsi="宋体" w:eastAsia="宋体" w:cs="Times New Roman"/>
                <w:color w:val="auto"/>
                <w:sz w:val="24"/>
                <w:szCs w:val="24"/>
              </w:rPr>
              <w:t>资质证明</w:t>
            </w:r>
          </w:p>
        </w:tc>
        <w:tc>
          <w:tcPr>
            <w:tcW w:w="1276" w:type="dxa"/>
            <w:tcBorders>
              <w:top w:val="outset" w:color="auto" w:sz="6" w:space="0"/>
              <w:left w:val="single" w:color="auto" w:sz="4" w:space="0"/>
              <w:right w:val="outset" w:color="auto" w:sz="6" w:space="0"/>
            </w:tcBorders>
            <w:vAlign w:val="center"/>
          </w:tcPr>
          <w:p w14:paraId="20725DD5">
            <w:pPr>
              <w:pStyle w:val="28"/>
              <w:spacing w:line="360" w:lineRule="auto"/>
              <w:jc w:val="center"/>
              <w:rPr>
                <w:rFonts w:hint="eastAsia" w:hAnsi="宋体" w:eastAsia="宋体" w:cs="Times New Roman"/>
                <w:color w:val="auto"/>
                <w:sz w:val="24"/>
                <w:szCs w:val="24"/>
              </w:rPr>
            </w:pPr>
            <w:r>
              <w:rPr>
                <w:rFonts w:hint="eastAsia" w:hAnsi="宋体" w:eastAsia="宋体" w:cs="Times New Roman"/>
                <w:color w:val="auto"/>
                <w:sz w:val="24"/>
                <w:szCs w:val="24"/>
              </w:rPr>
              <w:t>10分</w:t>
            </w:r>
          </w:p>
        </w:tc>
        <w:tc>
          <w:tcPr>
            <w:tcW w:w="7652" w:type="dxa"/>
            <w:tcBorders>
              <w:top w:val="outset" w:color="auto" w:sz="6" w:space="0"/>
              <w:left w:val="outset" w:color="auto" w:sz="6" w:space="0"/>
              <w:right w:val="outset" w:color="auto" w:sz="6" w:space="0"/>
            </w:tcBorders>
          </w:tcPr>
          <w:p w14:paraId="7C81DF66">
            <w:pPr>
              <w:pStyle w:val="28"/>
              <w:numPr>
                <w:ilvl w:val="0"/>
                <w:numId w:val="11"/>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所投产品制造商具有ITSS证书。（1分）</w:t>
            </w:r>
          </w:p>
          <w:p w14:paraId="39CCB438">
            <w:pPr>
              <w:pStyle w:val="28"/>
              <w:numPr>
                <w:ilvl w:val="0"/>
                <w:numId w:val="11"/>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所投产品制造商具有信息安全服务资质认证</w:t>
            </w:r>
            <w:r>
              <w:rPr>
                <w:rFonts w:hAnsi="宋体" w:eastAsia="宋体" w:cs="Times New Roman"/>
                <w:color w:val="auto"/>
                <w:sz w:val="24"/>
                <w:szCs w:val="24"/>
              </w:rPr>
              <w:t>CCRC</w:t>
            </w:r>
            <w:r>
              <w:rPr>
                <w:rFonts w:hint="eastAsia" w:hAnsi="宋体" w:eastAsia="宋体" w:cs="Times New Roman"/>
                <w:color w:val="auto"/>
                <w:sz w:val="24"/>
                <w:szCs w:val="24"/>
              </w:rPr>
              <w:t>三级或以上证书(2分</w:t>
            </w:r>
            <w:r>
              <w:rPr>
                <w:rFonts w:hAnsi="宋体" w:eastAsia="宋体" w:cs="Times New Roman"/>
                <w:color w:val="auto"/>
                <w:sz w:val="24"/>
                <w:szCs w:val="24"/>
              </w:rPr>
              <w:t>)</w:t>
            </w:r>
          </w:p>
          <w:p w14:paraId="4C1B42F1">
            <w:pPr>
              <w:pStyle w:val="28"/>
              <w:numPr>
                <w:ilvl w:val="0"/>
                <w:numId w:val="11"/>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所投产品制造商具有企业信用等级3A证书，能提供者得1分，不能提供者不得分。</w:t>
            </w:r>
          </w:p>
          <w:p w14:paraId="0691DEFE">
            <w:pPr>
              <w:pStyle w:val="28"/>
              <w:numPr>
                <w:ilvl w:val="0"/>
                <w:numId w:val="11"/>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所投产品制造商具有知识产权合规管理体系认证证书。</w:t>
            </w:r>
            <w:r>
              <w:rPr>
                <w:rFonts w:hint="eastAsia" w:hAnsi="宋体" w:eastAsia="宋体" w:cs="Times New Roman"/>
                <w:bCs/>
                <w:color w:val="auto"/>
                <w:sz w:val="24"/>
                <w:szCs w:val="24"/>
              </w:rPr>
              <w:t>提供证书复印件和“全国认证认可信息公共服务平台”查询页面截图，未按要求提供不得分。</w:t>
            </w:r>
            <w:r>
              <w:rPr>
                <w:rFonts w:hint="eastAsia" w:hAnsi="宋体" w:eastAsia="宋体" w:cs="Times New Roman"/>
                <w:color w:val="auto"/>
                <w:sz w:val="24"/>
                <w:szCs w:val="24"/>
              </w:rPr>
              <w:t>(</w:t>
            </w:r>
            <w:r>
              <w:rPr>
                <w:rFonts w:hAnsi="宋体" w:eastAsia="宋体" w:cs="Times New Roman"/>
                <w:color w:val="auto"/>
                <w:sz w:val="24"/>
                <w:szCs w:val="24"/>
              </w:rPr>
              <w:t>2</w:t>
            </w:r>
            <w:r>
              <w:rPr>
                <w:rFonts w:hint="eastAsia" w:hAnsi="宋体" w:eastAsia="宋体" w:cs="Times New Roman"/>
                <w:color w:val="auto"/>
                <w:sz w:val="24"/>
                <w:szCs w:val="24"/>
              </w:rPr>
              <w:t>分</w:t>
            </w:r>
            <w:r>
              <w:rPr>
                <w:rFonts w:hAnsi="宋体" w:eastAsia="宋体" w:cs="Times New Roman"/>
                <w:color w:val="auto"/>
                <w:sz w:val="24"/>
                <w:szCs w:val="24"/>
              </w:rPr>
              <w:t>)</w:t>
            </w:r>
          </w:p>
          <w:p w14:paraId="15800C65">
            <w:pPr>
              <w:pStyle w:val="28"/>
              <w:numPr>
                <w:ilvl w:val="0"/>
                <w:numId w:val="11"/>
              </w:numPr>
              <w:spacing w:line="360" w:lineRule="auto"/>
              <w:rPr>
                <w:rFonts w:hint="eastAsia" w:hAnsi="宋体" w:eastAsia="宋体" w:cs="Times New Roman"/>
                <w:color w:val="auto"/>
                <w:sz w:val="24"/>
                <w:szCs w:val="24"/>
              </w:rPr>
            </w:pPr>
            <w:r>
              <w:rPr>
                <w:rFonts w:hint="eastAsia" w:hAnsi="宋体"/>
                <w:sz w:val="24"/>
                <w:szCs w:val="24"/>
              </w:rPr>
              <w:t>所投产品制造商通过软件能力成熟度达到SJ/T 11235 软件能力成熟度模型等级 三级或以上，提供证书复印件及该证书在“全国认证认可信息公共服务平台“查询的截图，未按要求提供不得分。（2分）</w:t>
            </w:r>
          </w:p>
          <w:p w14:paraId="5E1D664C">
            <w:pPr>
              <w:pStyle w:val="28"/>
              <w:numPr>
                <w:ilvl w:val="0"/>
                <w:numId w:val="11"/>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所投产品制造商具备ISO9001质量管理体系认证证书、ISO20000信息技术服务管理体系认证证书及ISO27001信息安全管理体系认证证书。（全部提供得2分，缺少任意一项或不提供不得分）</w:t>
            </w:r>
          </w:p>
        </w:tc>
      </w:tr>
      <w:tr w14:paraId="7DDE2AD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198" w:type="dxa"/>
            <w:vMerge w:val="continue"/>
            <w:tcBorders>
              <w:left w:val="outset" w:color="auto" w:sz="6" w:space="0"/>
              <w:right w:val="outset" w:color="auto" w:sz="6" w:space="0"/>
            </w:tcBorders>
            <w:vAlign w:val="center"/>
          </w:tcPr>
          <w:p w14:paraId="42DB4827">
            <w:pPr>
              <w:spacing w:line="360" w:lineRule="auto"/>
              <w:jc w:val="center"/>
              <w:rPr>
                <w:rFonts w:hint="eastAsia" w:ascii="宋体" w:hAnsi="宋体"/>
                <w:sz w:val="24"/>
                <w:szCs w:val="24"/>
              </w:rPr>
            </w:pPr>
          </w:p>
        </w:tc>
        <w:tc>
          <w:tcPr>
            <w:tcW w:w="1347" w:type="dxa"/>
            <w:tcBorders>
              <w:top w:val="single" w:color="auto" w:sz="4" w:space="0"/>
              <w:left w:val="outset" w:color="auto" w:sz="6" w:space="0"/>
              <w:bottom w:val="single" w:color="auto" w:sz="4" w:space="0"/>
              <w:right w:val="single" w:color="auto" w:sz="4" w:space="0"/>
            </w:tcBorders>
            <w:vAlign w:val="center"/>
          </w:tcPr>
          <w:p w14:paraId="15ECC203">
            <w:pPr>
              <w:pStyle w:val="28"/>
              <w:spacing w:line="360" w:lineRule="auto"/>
              <w:jc w:val="center"/>
              <w:rPr>
                <w:rFonts w:hint="eastAsia" w:hAnsi="宋体" w:eastAsia="宋体" w:cs="Times New Roman"/>
                <w:color w:val="auto"/>
                <w:sz w:val="24"/>
                <w:szCs w:val="24"/>
              </w:rPr>
            </w:pPr>
            <w:r>
              <w:rPr>
                <w:rFonts w:hint="eastAsia" w:hAnsi="宋体" w:eastAsia="宋体" w:cs="Times New Roman"/>
                <w:color w:val="auto"/>
                <w:sz w:val="24"/>
                <w:szCs w:val="24"/>
              </w:rPr>
              <w:t>项目经验证明</w:t>
            </w:r>
          </w:p>
        </w:tc>
        <w:tc>
          <w:tcPr>
            <w:tcW w:w="1276" w:type="dxa"/>
            <w:tcBorders>
              <w:top w:val="outset" w:color="auto" w:sz="6" w:space="0"/>
              <w:left w:val="single" w:color="auto" w:sz="4" w:space="0"/>
              <w:bottom w:val="outset" w:color="auto" w:sz="6" w:space="0"/>
              <w:right w:val="outset" w:color="auto" w:sz="6" w:space="0"/>
            </w:tcBorders>
            <w:vAlign w:val="center"/>
          </w:tcPr>
          <w:p w14:paraId="18A07832">
            <w:pPr>
              <w:pStyle w:val="28"/>
              <w:spacing w:line="360" w:lineRule="auto"/>
              <w:jc w:val="center"/>
              <w:rPr>
                <w:rFonts w:hint="eastAsia" w:hAnsi="宋体" w:eastAsia="宋体" w:cs="Times New Roman"/>
                <w:color w:val="auto"/>
                <w:sz w:val="24"/>
                <w:szCs w:val="24"/>
              </w:rPr>
            </w:pPr>
            <w:r>
              <w:rPr>
                <w:rFonts w:hAnsi="宋体" w:eastAsia="宋体" w:cs="Times New Roman"/>
                <w:color w:val="auto"/>
                <w:sz w:val="24"/>
                <w:szCs w:val="24"/>
              </w:rPr>
              <w:t>1</w:t>
            </w:r>
            <w:r>
              <w:rPr>
                <w:rFonts w:hint="eastAsia" w:hAnsi="宋体" w:eastAsia="宋体" w:cs="Times New Roman"/>
                <w:color w:val="auto"/>
                <w:sz w:val="24"/>
                <w:szCs w:val="24"/>
              </w:rPr>
              <w:t>2分</w:t>
            </w:r>
          </w:p>
        </w:tc>
        <w:tc>
          <w:tcPr>
            <w:tcW w:w="7652" w:type="dxa"/>
            <w:tcBorders>
              <w:top w:val="outset" w:color="auto" w:sz="6" w:space="0"/>
              <w:left w:val="outset" w:color="auto" w:sz="6" w:space="0"/>
              <w:bottom w:val="outset" w:color="auto" w:sz="6" w:space="0"/>
              <w:right w:val="outset" w:color="auto" w:sz="6" w:space="0"/>
            </w:tcBorders>
          </w:tcPr>
          <w:p w14:paraId="315805F1">
            <w:pPr>
              <w:pStyle w:val="28"/>
              <w:numPr>
                <w:ilvl w:val="0"/>
                <w:numId w:val="12"/>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2</w:t>
            </w:r>
            <w:r>
              <w:rPr>
                <w:rFonts w:hAnsi="宋体" w:eastAsia="宋体" w:cs="Times New Roman"/>
                <w:color w:val="auto"/>
                <w:sz w:val="24"/>
                <w:szCs w:val="24"/>
              </w:rPr>
              <w:t>020</w:t>
            </w:r>
            <w:r>
              <w:rPr>
                <w:rFonts w:hint="eastAsia" w:hAnsi="宋体" w:eastAsia="宋体" w:cs="Times New Roman"/>
                <w:color w:val="auto"/>
                <w:sz w:val="24"/>
                <w:szCs w:val="24"/>
              </w:rPr>
              <w:t>年至今，投标人或投标产品制造商具有同类项目建设案例：</w:t>
            </w:r>
          </w:p>
          <w:p w14:paraId="09115417">
            <w:pPr>
              <w:pStyle w:val="28"/>
              <w:numPr>
                <w:ilvl w:val="0"/>
                <w:numId w:val="13"/>
              </w:numPr>
              <w:spacing w:line="360" w:lineRule="auto"/>
              <w:ind w:firstLine="241"/>
              <w:rPr>
                <w:rFonts w:hint="eastAsia" w:hAnsi="宋体" w:eastAsia="宋体" w:cs="Times New Roman"/>
                <w:color w:val="auto"/>
                <w:sz w:val="24"/>
                <w:szCs w:val="24"/>
              </w:rPr>
            </w:pPr>
            <w:r>
              <w:rPr>
                <w:rFonts w:hint="eastAsia" w:hAnsi="宋体" w:eastAsia="宋体" w:cs="Times New Roman"/>
                <w:color w:val="auto"/>
                <w:sz w:val="24"/>
                <w:szCs w:val="24"/>
              </w:rPr>
              <w:t>提供建设案例≥6个，得4分；</w:t>
            </w:r>
          </w:p>
          <w:p w14:paraId="61206318">
            <w:pPr>
              <w:pStyle w:val="28"/>
              <w:numPr>
                <w:ilvl w:val="0"/>
                <w:numId w:val="13"/>
              </w:numPr>
              <w:spacing w:line="360" w:lineRule="auto"/>
              <w:ind w:firstLine="241"/>
              <w:rPr>
                <w:rFonts w:hint="eastAsia" w:hAnsi="宋体" w:eastAsia="宋体" w:cs="Times New Roman"/>
                <w:color w:val="auto"/>
                <w:sz w:val="24"/>
                <w:szCs w:val="24"/>
              </w:rPr>
            </w:pPr>
            <w:r>
              <w:rPr>
                <w:rFonts w:hint="eastAsia" w:hAnsi="宋体" w:eastAsia="宋体" w:cs="Times New Roman"/>
                <w:color w:val="auto"/>
                <w:sz w:val="24"/>
                <w:szCs w:val="24"/>
              </w:rPr>
              <w:t>3个≤提供建设案例＜6个，得2分；</w:t>
            </w:r>
          </w:p>
          <w:p w14:paraId="341348CF">
            <w:pPr>
              <w:pStyle w:val="28"/>
              <w:numPr>
                <w:ilvl w:val="0"/>
                <w:numId w:val="13"/>
              </w:numPr>
              <w:spacing w:line="360" w:lineRule="auto"/>
              <w:ind w:left="317" w:leftChars="151" w:firstLine="240" w:firstLineChars="100"/>
              <w:rPr>
                <w:rFonts w:hint="eastAsia" w:hAnsi="宋体" w:eastAsia="宋体" w:cs="Times New Roman"/>
                <w:color w:val="auto"/>
                <w:sz w:val="24"/>
                <w:szCs w:val="24"/>
              </w:rPr>
            </w:pPr>
            <w:r>
              <w:rPr>
                <w:rFonts w:hint="eastAsia" w:hAnsi="宋体" w:eastAsia="宋体" w:cs="Times New Roman"/>
                <w:color w:val="auto"/>
                <w:sz w:val="24"/>
                <w:szCs w:val="24"/>
              </w:rPr>
              <w:t>1个≤提供建设案例＜</w:t>
            </w:r>
            <w:r>
              <w:rPr>
                <w:rFonts w:hAnsi="宋体" w:eastAsia="宋体" w:cs="Times New Roman"/>
                <w:color w:val="auto"/>
                <w:sz w:val="24"/>
                <w:szCs w:val="24"/>
              </w:rPr>
              <w:t>3</w:t>
            </w:r>
            <w:r>
              <w:rPr>
                <w:rFonts w:hint="eastAsia" w:hAnsi="宋体" w:eastAsia="宋体" w:cs="Times New Roman"/>
                <w:color w:val="auto"/>
                <w:sz w:val="24"/>
                <w:szCs w:val="24"/>
              </w:rPr>
              <w:t>个，得1分，不提供不得分。</w:t>
            </w:r>
          </w:p>
          <w:p w14:paraId="0433CE8A">
            <w:pPr>
              <w:pStyle w:val="28"/>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评分依据：提供合同关键页及项目的最终用户(医院</w:t>
            </w:r>
            <w:r>
              <w:rPr>
                <w:rFonts w:hAnsi="宋体" w:eastAsia="宋体" w:cs="Times New Roman"/>
                <w:color w:val="auto"/>
                <w:sz w:val="24"/>
                <w:szCs w:val="24"/>
              </w:rPr>
              <w:t>)</w:t>
            </w:r>
            <w:r>
              <w:rPr>
                <w:rFonts w:hint="eastAsia" w:hAnsi="宋体" w:eastAsia="宋体" w:cs="Times New Roman"/>
                <w:color w:val="auto"/>
                <w:sz w:val="24"/>
                <w:szCs w:val="24"/>
              </w:rPr>
              <w:t>的验收单复印件作为证明材料。</w:t>
            </w:r>
          </w:p>
          <w:p w14:paraId="7A486BBD">
            <w:pPr>
              <w:pStyle w:val="28"/>
              <w:numPr>
                <w:ilvl w:val="0"/>
                <w:numId w:val="12"/>
              </w:numPr>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投标人或投标产品制造商具有成功通过高级别电子病历评级用户的同类项目建设案例：</w:t>
            </w:r>
          </w:p>
          <w:p w14:paraId="350A9F73">
            <w:pPr>
              <w:pStyle w:val="28"/>
              <w:numPr>
                <w:ilvl w:val="0"/>
                <w:numId w:val="14"/>
              </w:numPr>
              <w:spacing w:line="360" w:lineRule="auto"/>
              <w:ind w:firstLine="241"/>
              <w:rPr>
                <w:rFonts w:hint="eastAsia" w:hAnsi="宋体" w:eastAsia="宋体" w:cs="Times New Roman"/>
                <w:color w:val="auto"/>
                <w:sz w:val="24"/>
                <w:szCs w:val="24"/>
              </w:rPr>
            </w:pPr>
            <w:r>
              <w:rPr>
                <w:rFonts w:hint="eastAsia" w:hAnsi="宋体" w:eastAsia="宋体" w:cs="Times New Roman"/>
                <w:color w:val="auto"/>
                <w:sz w:val="24"/>
                <w:szCs w:val="24"/>
              </w:rPr>
              <w:t>每提供一个5级案例得1分；</w:t>
            </w:r>
          </w:p>
          <w:p w14:paraId="4DA4AAFC">
            <w:pPr>
              <w:pStyle w:val="28"/>
              <w:numPr>
                <w:ilvl w:val="0"/>
                <w:numId w:val="14"/>
              </w:numPr>
              <w:spacing w:line="360" w:lineRule="auto"/>
              <w:ind w:firstLine="241"/>
              <w:rPr>
                <w:rFonts w:hint="eastAsia" w:hAnsi="宋体" w:eastAsia="宋体" w:cs="Times New Roman"/>
                <w:color w:val="auto"/>
                <w:sz w:val="24"/>
                <w:szCs w:val="24"/>
              </w:rPr>
            </w:pPr>
            <w:r>
              <w:rPr>
                <w:rFonts w:hint="eastAsia" w:hAnsi="宋体" w:eastAsia="宋体" w:cs="Times New Roman"/>
                <w:color w:val="auto"/>
                <w:sz w:val="24"/>
                <w:szCs w:val="24"/>
              </w:rPr>
              <w:t>每提供一个6级案例得2分；</w:t>
            </w:r>
          </w:p>
          <w:p w14:paraId="4A51EF2C">
            <w:pPr>
              <w:pStyle w:val="28"/>
              <w:numPr>
                <w:ilvl w:val="0"/>
                <w:numId w:val="14"/>
              </w:numPr>
              <w:spacing w:line="360" w:lineRule="auto"/>
              <w:ind w:firstLine="241"/>
              <w:rPr>
                <w:rFonts w:hint="eastAsia" w:hAnsi="宋体" w:eastAsia="宋体" w:cs="Times New Roman"/>
                <w:color w:val="auto"/>
                <w:sz w:val="24"/>
                <w:szCs w:val="24"/>
              </w:rPr>
            </w:pPr>
            <w:r>
              <w:rPr>
                <w:rFonts w:hint="eastAsia" w:hAnsi="宋体" w:eastAsia="宋体" w:cs="Times New Roman"/>
                <w:color w:val="auto"/>
                <w:sz w:val="24"/>
                <w:szCs w:val="24"/>
              </w:rPr>
              <w:t>每提供一个7级或以上案例得3分；</w:t>
            </w:r>
          </w:p>
          <w:p w14:paraId="2B3CE95F">
            <w:pPr>
              <w:pStyle w:val="28"/>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上述案例累计计分，最高得8分。</w:t>
            </w:r>
          </w:p>
          <w:p w14:paraId="34045B8B">
            <w:pPr>
              <w:pStyle w:val="28"/>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评分依据：提供①国家卫生健康委公布的高级别电子病历评级通过的公告截图，截图中须清晰体现出案例医院名字；②项目合同关键页和最终用户(医院</w:t>
            </w:r>
            <w:r>
              <w:rPr>
                <w:rFonts w:hAnsi="宋体" w:eastAsia="宋体" w:cs="Times New Roman"/>
                <w:color w:val="auto"/>
                <w:sz w:val="24"/>
                <w:szCs w:val="24"/>
              </w:rPr>
              <w:t>)</w:t>
            </w:r>
            <w:r>
              <w:rPr>
                <w:rFonts w:hint="eastAsia" w:hAnsi="宋体" w:eastAsia="宋体" w:cs="Times New Roman"/>
                <w:color w:val="auto"/>
                <w:sz w:val="24"/>
                <w:szCs w:val="24"/>
              </w:rPr>
              <w:t>的项目验收单复印件作为证明材料。</w:t>
            </w:r>
          </w:p>
          <w:p w14:paraId="2D9D191E">
            <w:pPr>
              <w:pStyle w:val="28"/>
              <w:spacing w:line="360" w:lineRule="auto"/>
              <w:rPr>
                <w:rFonts w:hint="eastAsia" w:hAnsi="宋体" w:eastAsia="宋体" w:cs="Times New Roman"/>
                <w:color w:val="auto"/>
                <w:sz w:val="24"/>
                <w:szCs w:val="24"/>
              </w:rPr>
            </w:pPr>
            <w:r>
              <w:rPr>
                <w:rFonts w:hint="eastAsia" w:hAnsi="宋体" w:eastAsia="宋体" w:cs="Times New Roman"/>
                <w:color w:val="auto"/>
                <w:sz w:val="24"/>
                <w:szCs w:val="24"/>
              </w:rPr>
              <w:t>注：同类项目是指：合理用药相关系统。</w:t>
            </w:r>
          </w:p>
        </w:tc>
      </w:tr>
    </w:tbl>
    <w:p w14:paraId="027B3D9B">
      <w:pPr>
        <w:spacing w:line="360" w:lineRule="auto"/>
        <w:ind w:right="-1191" w:rightChars="-567"/>
        <w:rPr>
          <w:rFonts w:hint="eastAsia" w:ascii="宋体" w:hAnsi="宋体" w:cs="Arial"/>
          <w:sz w:val="24"/>
          <w:szCs w:val="24"/>
        </w:rPr>
      </w:pPr>
      <w:r>
        <w:rPr>
          <w:rFonts w:hint="eastAsia" w:ascii="宋体" w:hAnsi="宋体"/>
          <w:b/>
          <w:sz w:val="24"/>
          <w:szCs w:val="24"/>
        </w:rPr>
        <w:t>注：投标文件中所有证书、证明文件必须是真实有效的,须有原件备查；未按要求提供证书证明等资料的，相应条款不得分。</w:t>
      </w:r>
    </w:p>
    <w:p w14:paraId="565B5252">
      <w:pPr>
        <w:spacing w:line="360" w:lineRule="auto"/>
        <w:rPr>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6DF2">
    <w:pPr>
      <w:pStyle w:val="10"/>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21E6B">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D21E6B">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附件</w:t>
    </w:r>
    <w:r>
      <w:rPr>
        <w:rFonts w:hint="eastAsia"/>
        <w:lang w:val="en-US" w:eastAsia="zh-CN"/>
      </w:rPr>
      <w:t>1</w:t>
    </w:r>
  </w:p>
  <w:p w14:paraId="06E03E88">
    <w:pPr>
      <w:pStyle w:val="10"/>
      <w:rPr>
        <w:rFonts w:hint="eastAsia"/>
        <w:lang w:val="en-US" w:eastAsia="zh-CN"/>
      </w:rPr>
    </w:pPr>
    <w:r>
      <w:pict>
        <v:shape id="PowerPlusWaterMarkObject16866167" o:spid="_x0000_s4097" o:spt="136" type="#_x0000_t136" style="position:absolute;left:0pt;height:130.25pt;width:456.9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严禁复制"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A2A9B"/>
    <w:multiLevelType w:val="multilevel"/>
    <w:tmpl w:val="044A2A9B"/>
    <w:lvl w:ilvl="0" w:tentative="0">
      <w:start w:val="1"/>
      <w:numFmt w:val="decimal"/>
      <w:lvlText w:val="7.%1"/>
      <w:lvlJc w:val="left"/>
      <w:rPr>
        <w:rFonts w:hint="eastAsia"/>
      </w:rPr>
    </w:lvl>
    <w:lvl w:ilvl="1" w:tentative="0">
      <w:start w:val="1"/>
      <w:numFmt w:val="lowerLetter"/>
      <w:lvlText w:val="%2)"/>
      <w:lvlJc w:val="left"/>
      <w:pPr>
        <w:ind w:left="8494" w:hanging="420"/>
      </w:pPr>
    </w:lvl>
    <w:lvl w:ilvl="2" w:tentative="0">
      <w:start w:val="1"/>
      <w:numFmt w:val="lowerRoman"/>
      <w:lvlText w:val="%3."/>
      <w:lvlJc w:val="right"/>
      <w:pPr>
        <w:ind w:left="8914" w:hanging="420"/>
      </w:pPr>
    </w:lvl>
    <w:lvl w:ilvl="3" w:tentative="0">
      <w:start w:val="1"/>
      <w:numFmt w:val="decimal"/>
      <w:lvlText w:val="%4."/>
      <w:lvlJc w:val="left"/>
      <w:pPr>
        <w:ind w:left="9334" w:hanging="420"/>
      </w:pPr>
    </w:lvl>
    <w:lvl w:ilvl="4" w:tentative="0">
      <w:start w:val="1"/>
      <w:numFmt w:val="lowerLetter"/>
      <w:lvlText w:val="%5)"/>
      <w:lvlJc w:val="left"/>
      <w:pPr>
        <w:ind w:left="9754" w:hanging="420"/>
      </w:pPr>
    </w:lvl>
    <w:lvl w:ilvl="5" w:tentative="0">
      <w:start w:val="1"/>
      <w:numFmt w:val="lowerRoman"/>
      <w:lvlText w:val="%6."/>
      <w:lvlJc w:val="right"/>
      <w:pPr>
        <w:ind w:left="10174" w:hanging="420"/>
      </w:pPr>
    </w:lvl>
    <w:lvl w:ilvl="6" w:tentative="0">
      <w:start w:val="1"/>
      <w:numFmt w:val="decimal"/>
      <w:lvlText w:val="%7."/>
      <w:lvlJc w:val="left"/>
      <w:pPr>
        <w:ind w:left="10594" w:hanging="420"/>
      </w:pPr>
    </w:lvl>
    <w:lvl w:ilvl="7" w:tentative="0">
      <w:start w:val="1"/>
      <w:numFmt w:val="lowerLetter"/>
      <w:lvlText w:val="%8)"/>
      <w:lvlJc w:val="left"/>
      <w:pPr>
        <w:ind w:left="11014" w:hanging="420"/>
      </w:pPr>
    </w:lvl>
    <w:lvl w:ilvl="8" w:tentative="0">
      <w:start w:val="1"/>
      <w:numFmt w:val="lowerRoman"/>
      <w:lvlText w:val="%9."/>
      <w:lvlJc w:val="right"/>
      <w:pPr>
        <w:ind w:left="11434" w:hanging="420"/>
      </w:pPr>
    </w:lvl>
  </w:abstractNum>
  <w:abstractNum w:abstractNumId="1">
    <w:nsid w:val="07BC6336"/>
    <w:multiLevelType w:val="multilevel"/>
    <w:tmpl w:val="07BC6336"/>
    <w:lvl w:ilvl="0" w:tentative="0">
      <w:start w:val="1"/>
      <w:numFmt w:val="decimal"/>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207EE0"/>
    <w:multiLevelType w:val="multilevel"/>
    <w:tmpl w:val="0B207EE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DD34D2"/>
    <w:multiLevelType w:val="multilevel"/>
    <w:tmpl w:val="0CDD34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AF10EB"/>
    <w:multiLevelType w:val="multilevel"/>
    <w:tmpl w:val="27AF10E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F03B09"/>
    <w:multiLevelType w:val="multilevel"/>
    <w:tmpl w:val="28F03B0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3795D5B"/>
    <w:multiLevelType w:val="multilevel"/>
    <w:tmpl w:val="33795D5B"/>
    <w:lvl w:ilvl="0" w:tentative="0">
      <w:start w:val="1"/>
      <w:numFmt w:val="chineseCountingThousand"/>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F902D6"/>
    <w:multiLevelType w:val="multilevel"/>
    <w:tmpl w:val="37F902D6"/>
    <w:lvl w:ilvl="0" w:tentative="0">
      <w:start w:val="1"/>
      <w:numFmt w:val="decimal"/>
      <w:lvlText w:val="%1、"/>
      <w:lvlJc w:val="left"/>
      <w:pPr>
        <w:ind w:left="420" w:hanging="420"/>
      </w:pPr>
      <w:rPr>
        <w:rFonts w:hint="eastAsia"/>
        <w:b w:val="0"/>
        <w:bCs/>
        <w:sz w:val="24"/>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FF50CB"/>
    <w:multiLevelType w:val="multilevel"/>
    <w:tmpl w:val="38FF50C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A906B61"/>
    <w:multiLevelType w:val="multilevel"/>
    <w:tmpl w:val="3A906B61"/>
    <w:lvl w:ilvl="0" w:tentative="0">
      <w:start w:val="1"/>
      <w:numFmt w:val="decimal"/>
      <w:lvlText w:val="4.%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3DC0987"/>
    <w:multiLevelType w:val="multilevel"/>
    <w:tmpl w:val="43DC0987"/>
    <w:lvl w:ilvl="0" w:tentative="0">
      <w:start w:val="1"/>
      <w:numFmt w:val="decimal"/>
      <w:pStyle w:val="3"/>
      <w:lvlText w:val="%1."/>
      <w:lvlJc w:val="left"/>
      <w:pPr>
        <w:ind w:left="0" w:firstLine="0"/>
      </w:pPr>
      <w:rPr>
        <w:rFonts w:hint="eastAsia" w:ascii="宋体" w:hAnsi="仿宋" w:eastAsia="宋体"/>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284" w:firstLine="0"/>
      </w:pPr>
      <w:rPr>
        <w:rFonts w:hint="eastAsia"/>
        <w:b/>
        <w:bCs w:val="0"/>
        <w:i w:val="0"/>
      </w:rPr>
    </w:lvl>
    <w:lvl w:ilvl="2" w:tentative="0">
      <w:start w:val="1"/>
      <w:numFmt w:val="decimal"/>
      <w:pStyle w:val="5"/>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6"/>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483847E7"/>
    <w:multiLevelType w:val="multilevel"/>
    <w:tmpl w:val="483847E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84F7082"/>
    <w:multiLevelType w:val="multilevel"/>
    <w:tmpl w:val="684F7082"/>
    <w:lvl w:ilvl="0" w:tentative="0">
      <w:start w:val="1"/>
      <w:numFmt w:val="decimal"/>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951150"/>
    <w:multiLevelType w:val="multilevel"/>
    <w:tmpl w:val="79951150"/>
    <w:lvl w:ilvl="0" w:tentative="0">
      <w:start w:val="1"/>
      <w:numFmt w:val="decimal"/>
      <w:lvlText w:val="3.%1"/>
      <w:lvlJc w:val="left"/>
      <w:pPr>
        <w:ind w:left="420" w:hanging="420"/>
      </w:pPr>
      <w:rPr>
        <w:rFonts w:hint="eastAsia" w:asciiTheme="minorEastAsia" w:hAnsiTheme="minorEastAsia" w:eastAsiaTheme="minorEastAsia"/>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6"/>
  </w:num>
  <w:num w:numId="3">
    <w:abstractNumId w:val="12"/>
  </w:num>
  <w:num w:numId="4">
    <w:abstractNumId w:val="4"/>
  </w:num>
  <w:num w:numId="5">
    <w:abstractNumId w:val="13"/>
  </w:num>
  <w:num w:numId="6">
    <w:abstractNumId w:val="9"/>
  </w:num>
  <w:num w:numId="7">
    <w:abstractNumId w:val="2"/>
  </w:num>
  <w:num w:numId="8">
    <w:abstractNumId w:val="1"/>
  </w:num>
  <w:num w:numId="9">
    <w:abstractNumId w:val="0"/>
  </w:num>
  <w:num w:numId="10">
    <w:abstractNumId w:val="5"/>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E0"/>
    <w:rsid w:val="0007451F"/>
    <w:rsid w:val="000A3F53"/>
    <w:rsid w:val="001764FB"/>
    <w:rsid w:val="00182FD1"/>
    <w:rsid w:val="00196AFB"/>
    <w:rsid w:val="001F1B76"/>
    <w:rsid w:val="0021396E"/>
    <w:rsid w:val="00236CE0"/>
    <w:rsid w:val="002370A9"/>
    <w:rsid w:val="0034258B"/>
    <w:rsid w:val="00437E87"/>
    <w:rsid w:val="0046280B"/>
    <w:rsid w:val="004A0074"/>
    <w:rsid w:val="006A11E7"/>
    <w:rsid w:val="007E092E"/>
    <w:rsid w:val="00805698"/>
    <w:rsid w:val="0087551E"/>
    <w:rsid w:val="0089394D"/>
    <w:rsid w:val="009565D3"/>
    <w:rsid w:val="009C2FA8"/>
    <w:rsid w:val="009E305B"/>
    <w:rsid w:val="00A077EC"/>
    <w:rsid w:val="00A10152"/>
    <w:rsid w:val="00A65881"/>
    <w:rsid w:val="00AC3B73"/>
    <w:rsid w:val="00B73B94"/>
    <w:rsid w:val="00BE08EB"/>
    <w:rsid w:val="00BF0554"/>
    <w:rsid w:val="00C0028B"/>
    <w:rsid w:val="00C51991"/>
    <w:rsid w:val="00CE712D"/>
    <w:rsid w:val="00D4206B"/>
    <w:rsid w:val="00DF680C"/>
    <w:rsid w:val="00DF7DC7"/>
    <w:rsid w:val="00E36188"/>
    <w:rsid w:val="00E814D3"/>
    <w:rsid w:val="00F960EF"/>
    <w:rsid w:val="00FD6CB7"/>
    <w:rsid w:val="00FD70FF"/>
    <w:rsid w:val="09303E3E"/>
    <w:rsid w:val="3E933310"/>
    <w:rsid w:val="72EB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6"/>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5"/>
    <w:unhideWhenUsed/>
    <w:qFormat/>
    <w:uiPriority w:val="0"/>
    <w:pPr>
      <w:keepNext/>
      <w:keepLines/>
      <w:numPr>
        <w:ilvl w:val="0"/>
        <w:numId w:val="1"/>
      </w:numPr>
      <w:spacing w:line="360" w:lineRule="auto"/>
      <w:jc w:val="left"/>
      <w:outlineLvl w:val="2"/>
    </w:pPr>
    <w:rPr>
      <w:rFonts w:eastAsia="宋体"/>
      <w:b/>
      <w:bCs/>
      <w:sz w:val="28"/>
      <w:szCs w:val="32"/>
    </w:rPr>
  </w:style>
  <w:style w:type="paragraph" w:styleId="4">
    <w:name w:val="heading 4"/>
    <w:basedOn w:val="1"/>
    <w:next w:val="1"/>
    <w:link w:val="16"/>
    <w:unhideWhenUsed/>
    <w:qFormat/>
    <w:uiPriority w:val="9"/>
    <w:pPr>
      <w:keepNext/>
      <w:keepLines/>
      <w:spacing w:line="360" w:lineRule="auto"/>
      <w:jc w:val="left"/>
      <w:outlineLvl w:val="3"/>
    </w:pPr>
    <w:rPr>
      <w:rFonts w:eastAsia="宋体" w:asciiTheme="majorHAnsi" w:hAnsiTheme="majorHAnsi" w:cstheme="majorBidi"/>
      <w:b/>
      <w:bCs/>
      <w:sz w:val="24"/>
      <w:szCs w:val="28"/>
    </w:rPr>
  </w:style>
  <w:style w:type="paragraph" w:styleId="5">
    <w:name w:val="heading 5"/>
    <w:basedOn w:val="1"/>
    <w:next w:val="1"/>
    <w:link w:val="17"/>
    <w:unhideWhenUsed/>
    <w:qFormat/>
    <w:uiPriority w:val="9"/>
    <w:pPr>
      <w:keepNext/>
      <w:keepLines/>
      <w:numPr>
        <w:ilvl w:val="2"/>
        <w:numId w:val="1"/>
      </w:numPr>
      <w:spacing w:line="360" w:lineRule="auto"/>
      <w:jc w:val="left"/>
      <w:outlineLvl w:val="4"/>
    </w:pPr>
    <w:rPr>
      <w:rFonts w:eastAsia="宋体"/>
      <w:bCs/>
      <w:sz w:val="24"/>
      <w:szCs w:val="28"/>
    </w:rPr>
  </w:style>
  <w:style w:type="paragraph" w:styleId="6">
    <w:name w:val="heading 9"/>
    <w:basedOn w:val="1"/>
    <w:next w:val="1"/>
    <w:link w:val="18"/>
    <w:semiHidden/>
    <w:unhideWhenUsed/>
    <w:qFormat/>
    <w:uiPriority w:val="9"/>
    <w:pPr>
      <w:keepNext/>
      <w:keepLines/>
      <w:numPr>
        <w:ilvl w:val="6"/>
        <w:numId w:val="1"/>
      </w:numPr>
      <w:spacing w:before="240" w:after="64" w:line="320" w:lineRule="auto"/>
      <w:jc w:val="left"/>
      <w:outlineLvl w:val="8"/>
    </w:pPr>
    <w:rPr>
      <w:rFonts w:asciiTheme="majorHAnsi" w:hAnsiTheme="majorHAnsi" w:eastAsiaTheme="majorEastAsia" w:cstheme="majorBidi"/>
      <w:sz w:val="24"/>
      <w:szCs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0"/>
    <w:unhideWhenUsed/>
    <w:qFormat/>
    <w:uiPriority w:val="99"/>
    <w:pPr>
      <w:jc w:val="left"/>
    </w:pPr>
  </w:style>
  <w:style w:type="paragraph" w:styleId="8">
    <w:name w:val="Balloon Text"/>
    <w:basedOn w:val="1"/>
    <w:link w:val="21"/>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uiPriority w:val="99"/>
    <w:rPr>
      <w:sz w:val="21"/>
      <w:szCs w:val="21"/>
    </w:rPr>
  </w:style>
  <w:style w:type="character" w:customStyle="1" w:styleId="15">
    <w:name w:val="标题 3 字符"/>
    <w:basedOn w:val="13"/>
    <w:link w:val="3"/>
    <w:uiPriority w:val="0"/>
    <w:rPr>
      <w:rFonts w:eastAsia="宋体"/>
      <w:b/>
      <w:bCs/>
      <w:sz w:val="28"/>
      <w:szCs w:val="32"/>
    </w:rPr>
  </w:style>
  <w:style w:type="character" w:customStyle="1" w:styleId="16">
    <w:name w:val="标题 4 字符"/>
    <w:basedOn w:val="13"/>
    <w:link w:val="4"/>
    <w:qFormat/>
    <w:uiPriority w:val="9"/>
    <w:rPr>
      <w:rFonts w:eastAsia="宋体" w:asciiTheme="majorHAnsi" w:hAnsiTheme="majorHAnsi" w:cstheme="majorBidi"/>
      <w:b/>
      <w:bCs/>
      <w:sz w:val="24"/>
      <w:szCs w:val="28"/>
    </w:rPr>
  </w:style>
  <w:style w:type="character" w:customStyle="1" w:styleId="17">
    <w:name w:val="标题 5 字符"/>
    <w:basedOn w:val="13"/>
    <w:link w:val="5"/>
    <w:uiPriority w:val="9"/>
    <w:rPr>
      <w:rFonts w:eastAsia="宋体"/>
      <w:bCs/>
      <w:sz w:val="24"/>
      <w:szCs w:val="28"/>
    </w:rPr>
  </w:style>
  <w:style w:type="character" w:customStyle="1" w:styleId="18">
    <w:name w:val="标题 9 字符"/>
    <w:basedOn w:val="13"/>
    <w:link w:val="6"/>
    <w:semiHidden/>
    <w:qFormat/>
    <w:uiPriority w:val="9"/>
    <w:rPr>
      <w:rFonts w:asciiTheme="majorHAnsi" w:hAnsiTheme="majorHAnsi" w:eastAsiaTheme="majorEastAsia" w:cstheme="majorBidi"/>
      <w:sz w:val="24"/>
      <w:szCs w:val="21"/>
    </w:rPr>
  </w:style>
  <w:style w:type="paragraph" w:styleId="19">
    <w:name w:val="List Paragraph"/>
    <w:basedOn w:val="1"/>
    <w:link w:val="22"/>
    <w:qFormat/>
    <w:uiPriority w:val="34"/>
    <w:pPr>
      <w:ind w:firstLine="420" w:firstLineChars="200"/>
    </w:pPr>
  </w:style>
  <w:style w:type="character" w:customStyle="1" w:styleId="20">
    <w:name w:val="批注文字 字符"/>
    <w:basedOn w:val="13"/>
    <w:link w:val="7"/>
    <w:qFormat/>
    <w:uiPriority w:val="99"/>
  </w:style>
  <w:style w:type="character" w:customStyle="1" w:styleId="21">
    <w:name w:val="批注框文本 字符"/>
    <w:basedOn w:val="13"/>
    <w:link w:val="8"/>
    <w:semiHidden/>
    <w:qFormat/>
    <w:uiPriority w:val="99"/>
    <w:rPr>
      <w:sz w:val="18"/>
      <w:szCs w:val="18"/>
    </w:rPr>
  </w:style>
  <w:style w:type="character" w:customStyle="1" w:styleId="22">
    <w:name w:val="列表段落 字符"/>
    <w:basedOn w:val="13"/>
    <w:link w:val="19"/>
    <w:qFormat/>
    <w:uiPriority w:val="34"/>
  </w:style>
  <w:style w:type="character" w:customStyle="1" w:styleId="23">
    <w:name w:val="页眉 字符"/>
    <w:basedOn w:val="13"/>
    <w:link w:val="10"/>
    <w:qFormat/>
    <w:uiPriority w:val="99"/>
    <w:rPr>
      <w:sz w:val="18"/>
      <w:szCs w:val="18"/>
    </w:rPr>
  </w:style>
  <w:style w:type="character" w:customStyle="1" w:styleId="24">
    <w:name w:val="页脚 字符"/>
    <w:basedOn w:val="13"/>
    <w:link w:val="9"/>
    <w:qFormat/>
    <w:uiPriority w:val="99"/>
    <w:rPr>
      <w:sz w:val="18"/>
      <w:szCs w:val="18"/>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2 字符"/>
    <w:basedOn w:val="13"/>
    <w:link w:val="2"/>
    <w:qFormat/>
    <w:uiPriority w:val="0"/>
    <w:rPr>
      <w:rFonts w:ascii="Cambria" w:hAnsi="Cambria" w:eastAsia="宋体" w:cs="Times New Roman"/>
      <w:b/>
      <w:bCs/>
      <w:sz w:val="32"/>
      <w:szCs w:val="32"/>
    </w:rPr>
  </w:style>
  <w:style w:type="character" w:customStyle="1" w:styleId="27">
    <w:name w:val="Default Char"/>
    <w:link w:val="28"/>
    <w:qFormat/>
    <w:uiPriority w:val="0"/>
    <w:rPr>
      <w:rFonts w:ascii="宋体" w:cs="宋体"/>
      <w:color w:val="000000"/>
    </w:rPr>
  </w:style>
  <w:style w:type="paragraph" w:customStyle="1" w:styleId="28">
    <w:name w:val="Default"/>
    <w:link w:val="27"/>
    <w:qFormat/>
    <w:uiPriority w:val="0"/>
    <w:pPr>
      <w:widowControl w:val="0"/>
      <w:autoSpaceDE w:val="0"/>
      <w:autoSpaceDN w:val="0"/>
      <w:adjustRightInd w:val="0"/>
    </w:pPr>
    <w:rPr>
      <w:rFonts w:ascii="宋体" w:cs="宋体" w:hAnsiTheme="minorHAnsi" w:eastAsiaTheme="minorEastAsia"/>
      <w:color w:val="000000"/>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3489</Words>
  <Characters>3546</Characters>
  <Lines>9</Lines>
  <Paragraphs>119</Paragraphs>
  <TotalTime>0</TotalTime>
  <ScaleCrop>false</ScaleCrop>
  <LinksUpToDate>false</LinksUpToDate>
  <CharactersWithSpaces>3550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2025-08-15T09:19:00Z</dcterms:created>
  <dc:creator>hushuyun</dc:creator>
  <cp:lastModifiedBy>笑而不语</cp:lastModifiedBy>
  <dcterms:modified xsi:type="dcterms:W3CDTF">2025-08-29T01:30:17Z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55F52EB227714DE7941371AF3E225C28_13</vt:lpwstr>
  </property>
</Properties>
</file>